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8D" w:rsidRPr="00E6384D" w:rsidRDefault="00EB058D" w:rsidP="00EB058D">
      <w:pPr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/>
          <w:color w:val="000000"/>
          <w:sz w:val="24"/>
          <w:szCs w:val="24"/>
          <w:lang w:val="lv-LV"/>
        </w:rPr>
        <w:t>PIELIKUMS</w:t>
      </w:r>
    </w:p>
    <w:p w:rsidR="00EB058D" w:rsidRPr="00E6384D" w:rsidRDefault="00EB058D" w:rsidP="00EB058D">
      <w:pPr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Balvu novada Domes</w:t>
      </w:r>
    </w:p>
    <w:p w:rsidR="00EB058D" w:rsidRPr="00E6384D" w:rsidRDefault="00EB058D" w:rsidP="00EB058D">
      <w:pPr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proofErr w:type="spellStart"/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2020.gada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</w:t>
      </w:r>
      <w:r w:rsidR="00E6384D" w:rsidRPr="00E6384D">
        <w:rPr>
          <w:rFonts w:ascii="Times New Roman" w:hAnsi="Times New Roman"/>
          <w:color w:val="000000"/>
          <w:sz w:val="24"/>
          <w:szCs w:val="24"/>
          <w:lang w:val="lv-LV"/>
        </w:rPr>
        <w:t>0</w:t>
      </w: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.marta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lēmumam</w:t>
      </w:r>
      <w:r w:rsidRPr="00E6384D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„Par bieži sastopamo derīgo izrakteņu ieguves atļaujas izsniegšanu sabiedrībai ar ierobežotu atbildību “</w:t>
      </w: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LIEPAS Z</w:t>
      </w:r>
      <w:r w:rsidRPr="00E6384D">
        <w:rPr>
          <w:rFonts w:ascii="Times New Roman" w:hAnsi="Times New Roman"/>
          <w:bCs/>
          <w:color w:val="000000"/>
          <w:sz w:val="24"/>
          <w:szCs w:val="24"/>
          <w:lang w:val="lv-LV"/>
        </w:rPr>
        <w:t>”</w:t>
      </w:r>
    </w:p>
    <w:p w:rsidR="00EB058D" w:rsidRPr="00E6384D" w:rsidRDefault="00EB058D" w:rsidP="00EB058D">
      <w:pPr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(sēdes prot.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Nr.</w:t>
      </w:r>
      <w:r w:rsidR="00E6384D" w:rsidRPr="00E6384D">
        <w:rPr>
          <w:rFonts w:ascii="Times New Roman" w:hAnsi="Times New Roman"/>
          <w:color w:val="000000"/>
          <w:sz w:val="24"/>
          <w:szCs w:val="24"/>
          <w:lang w:val="lv-LV"/>
        </w:rPr>
        <w:t>4</w:t>
      </w: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,</w:t>
      </w:r>
      <w:r w:rsidR="00E6384D" w:rsidRPr="00E6384D">
        <w:rPr>
          <w:rFonts w:ascii="Times New Roman" w:hAnsi="Times New Roman"/>
          <w:color w:val="000000"/>
          <w:sz w:val="24"/>
          <w:szCs w:val="24"/>
          <w:lang w:val="lv-LV"/>
        </w:rPr>
        <w:t>30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.§)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6384D">
        <w:rPr>
          <w:rFonts w:ascii="Times New Roman" w:hAnsi="Times New Roman"/>
          <w:b/>
          <w:noProof/>
          <w:sz w:val="28"/>
          <w:szCs w:val="28"/>
          <w:lang w:val="lv-LV"/>
        </w:rPr>
        <w:drawing>
          <wp:inline distT="0" distB="0" distL="0" distR="0">
            <wp:extent cx="542925" cy="638175"/>
            <wp:effectExtent l="19050" t="0" r="9525" b="0"/>
            <wp:docPr id="1" name="Attēls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b/>
          <w:sz w:val="16"/>
          <w:szCs w:val="16"/>
          <w:lang w:val="lv-LV"/>
        </w:rPr>
      </w:pP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6384D">
        <w:rPr>
          <w:rFonts w:ascii="Times New Roman" w:hAnsi="Times New Roman"/>
          <w:b/>
          <w:sz w:val="28"/>
          <w:szCs w:val="28"/>
          <w:lang w:val="lv-LV"/>
        </w:rPr>
        <w:t>LATVIJAS REPUBLIKA</w:t>
      </w:r>
    </w:p>
    <w:p w:rsidR="00EB058D" w:rsidRPr="00E6384D" w:rsidRDefault="00EB058D" w:rsidP="00EB058D">
      <w:pPr>
        <w:pBdr>
          <w:bottom w:val="single" w:sz="12" w:space="1" w:color="auto"/>
        </w:pBdr>
        <w:spacing w:after="0" w:line="240" w:lineRule="auto"/>
        <w:ind w:right="-93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6384D">
        <w:rPr>
          <w:rFonts w:ascii="Times New Roman" w:hAnsi="Times New Roman"/>
          <w:b/>
          <w:sz w:val="28"/>
          <w:szCs w:val="28"/>
          <w:lang w:val="lv-LV"/>
        </w:rPr>
        <w:t>BALVU NOVADA PAŠVALDĪBA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sz w:val="20"/>
          <w:szCs w:val="24"/>
          <w:lang w:val="lv-LV"/>
        </w:rPr>
      </w:pPr>
      <w:proofErr w:type="spellStart"/>
      <w:r w:rsidRPr="00E6384D">
        <w:rPr>
          <w:rFonts w:ascii="Times New Roman" w:hAnsi="Times New Roman"/>
          <w:sz w:val="20"/>
          <w:lang w:val="lv-LV"/>
        </w:rPr>
        <w:t>Reģ.Nr.90009115622</w:t>
      </w:r>
      <w:proofErr w:type="spellEnd"/>
      <w:r w:rsidRPr="00E6384D">
        <w:rPr>
          <w:rFonts w:ascii="Times New Roman" w:hAnsi="Times New Roman"/>
          <w:sz w:val="20"/>
          <w:lang w:val="lv-LV"/>
        </w:rPr>
        <w:t>, Bērzpils iela 1A, Balvi, Balvu novads,</w:t>
      </w:r>
      <w:proofErr w:type="gramStart"/>
      <w:r w:rsidRPr="00E6384D">
        <w:rPr>
          <w:rFonts w:ascii="Times New Roman" w:hAnsi="Times New Roman"/>
          <w:sz w:val="20"/>
          <w:lang w:val="lv-LV"/>
        </w:rPr>
        <w:t xml:space="preserve">  </w:t>
      </w:r>
      <w:proofErr w:type="gramEnd"/>
      <w:r w:rsidRPr="00E6384D">
        <w:rPr>
          <w:rFonts w:ascii="Times New Roman" w:hAnsi="Times New Roman"/>
          <w:sz w:val="20"/>
          <w:lang w:val="lv-LV"/>
        </w:rPr>
        <w:t xml:space="preserve">LV-4501, tālrunis +371 64522453 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sz w:val="20"/>
          <w:lang w:val="lv-LV"/>
        </w:rPr>
      </w:pPr>
      <w:proofErr w:type="spellStart"/>
      <w:r w:rsidRPr="00E6384D">
        <w:rPr>
          <w:rFonts w:ascii="Times New Roman" w:hAnsi="Times New Roman"/>
          <w:sz w:val="20"/>
          <w:lang w:val="lv-LV"/>
        </w:rPr>
        <w:t>fakss+371</w:t>
      </w:r>
      <w:proofErr w:type="spellEnd"/>
      <w:r w:rsidRPr="00E6384D">
        <w:rPr>
          <w:rFonts w:ascii="Times New Roman" w:hAnsi="Times New Roman"/>
          <w:sz w:val="20"/>
          <w:lang w:val="lv-LV"/>
        </w:rPr>
        <w:t xml:space="preserve"> 64522453, e-pasts: </w:t>
      </w:r>
      <w:hyperlink r:id="rId5" w:history="1">
        <w:r w:rsidRPr="00E6384D">
          <w:rPr>
            <w:rStyle w:val="Hipersaite"/>
            <w:rFonts w:ascii="Times New Roman" w:hAnsi="Times New Roman"/>
            <w:sz w:val="20"/>
            <w:lang w:val="lv-LV"/>
          </w:rPr>
          <w:t>dome@balvi.lv</w:t>
        </w:r>
      </w:hyperlink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Bieži sastopamo derīgo izrakteņu ieguves atļauja 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Nr. 1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/>
          <w:color w:val="000000"/>
          <w:sz w:val="24"/>
          <w:szCs w:val="24"/>
          <w:lang w:val="lv-LV"/>
        </w:rPr>
        <w:t> </w:t>
      </w:r>
    </w:p>
    <w:tbl>
      <w:tblPr>
        <w:tblW w:w="9210" w:type="dxa"/>
        <w:tblCellMar>
          <w:left w:w="0" w:type="dxa"/>
          <w:right w:w="0" w:type="dxa"/>
        </w:tblCellMar>
        <w:tblLook w:val="04A0"/>
      </w:tblPr>
      <w:tblGrid>
        <w:gridCol w:w="1134"/>
        <w:gridCol w:w="8076"/>
      </w:tblGrid>
      <w:tr w:rsidR="00EB058D" w:rsidRPr="00E6384D" w:rsidTr="00BF6252">
        <w:tc>
          <w:tcPr>
            <w:tcW w:w="1134" w:type="dxa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  <w:r w:rsidRPr="00E6384D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Izsniegta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sabiedrībai ar ierobežotu atbildību “LIEPAS </w:t>
            </w:r>
            <w:proofErr w:type="spellStart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Z”,vienotais</w:t>
            </w:r>
            <w:proofErr w:type="spellEnd"/>
            <w:proofErr w:type="gramStart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 </w:t>
            </w:r>
            <w:proofErr w:type="spellStart"/>
            <w:proofErr w:type="gramEnd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reģ</w:t>
            </w:r>
            <w:proofErr w:type="spellEnd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Nr.43401000142</w:t>
            </w:r>
            <w:proofErr w:type="spellEnd"/>
          </w:p>
        </w:tc>
      </w:tr>
      <w:tr w:rsidR="00EB058D" w:rsidRPr="00E6384D" w:rsidTr="00BF6252">
        <w:tc>
          <w:tcPr>
            <w:tcW w:w="1134" w:type="dxa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8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058D" w:rsidRPr="00E6384D" w:rsidRDefault="00EB058D" w:rsidP="00E6384D">
            <w:pPr>
              <w:spacing w:after="0" w:line="240" w:lineRule="auto"/>
              <w:ind w:left="-992"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(komersanta firma un reģistrācijas numurs vai </w:t>
            </w:r>
            <w:r w:rsidRPr="00E6384D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br/>
              <w:t>fiziskās personas vārds, uzvārds, personas kods)</w:t>
            </w:r>
          </w:p>
        </w:tc>
      </w:tr>
      <w:tr w:rsidR="00EB058D" w:rsidRPr="00E6384D" w:rsidTr="00BF6252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  <w:proofErr w:type="gramStart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smilts</w:t>
            </w: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–gr</w:t>
            </w:r>
            <w:proofErr w:type="gramEnd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ants un smilts</w:t>
            </w: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atradne “</w:t>
            </w: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Augstasils</w:t>
            </w:r>
            <w:proofErr w:type="spellEnd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II”</w:t>
            </w:r>
          </w:p>
        </w:tc>
      </w:tr>
      <w:tr w:rsidR="00EB058D" w:rsidRPr="00E6384D" w:rsidTr="00BF6252">
        <w:tc>
          <w:tcPr>
            <w:tcW w:w="9210" w:type="dxa"/>
            <w:gridSpan w:val="2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(atradnes nosaukums)</w:t>
            </w:r>
          </w:p>
        </w:tc>
      </w:tr>
      <w:tr w:rsidR="00EB058D" w:rsidRPr="00E6384D" w:rsidTr="00BF6252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“</w:t>
            </w: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Liepas Z”, Briežuciema pagasts, Balvu novads</w:t>
            </w:r>
          </w:p>
        </w:tc>
      </w:tr>
      <w:tr w:rsidR="00EB058D" w:rsidRPr="00E6384D" w:rsidTr="00BF6252">
        <w:tc>
          <w:tcPr>
            <w:tcW w:w="9210" w:type="dxa"/>
            <w:gridSpan w:val="2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(atradnes administratīvā piederība un adrese (ja iespējams))</w:t>
            </w:r>
          </w:p>
        </w:tc>
      </w:tr>
      <w:tr w:rsidR="00EB058D" w:rsidRPr="00E6384D" w:rsidTr="00BF6252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  <w:proofErr w:type="gramStart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smilts</w:t>
            </w: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–gr</w:t>
            </w:r>
            <w:proofErr w:type="gramEnd"/>
            <w:r w:rsidRPr="00E6384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ants un smilts</w:t>
            </w:r>
          </w:p>
        </w:tc>
      </w:tr>
      <w:tr w:rsidR="00EB058D" w:rsidRPr="00E6384D" w:rsidTr="00BF6252">
        <w:tc>
          <w:tcPr>
            <w:tcW w:w="9210" w:type="dxa"/>
            <w:gridSpan w:val="2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(derīgo izrakteņu veids)</w:t>
            </w:r>
          </w:p>
        </w:tc>
      </w:tr>
    </w:tbl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Atļauja izsniegta </w:t>
      </w:r>
      <w:proofErr w:type="spellStart"/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2020.gada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26.martā</w:t>
      </w:r>
      <w:proofErr w:type="spellEnd"/>
    </w:p>
    <w:p w:rsidR="00EB058D" w:rsidRPr="00E6384D" w:rsidRDefault="00EB058D" w:rsidP="00EB058D">
      <w:pPr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un ir derīga līdz </w:t>
      </w:r>
      <w:proofErr w:type="spellStart"/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2034.gada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18.augustam</w:t>
      </w:r>
      <w:proofErr w:type="spellEnd"/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Pielikumā: 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7230"/>
        <w:gridCol w:w="1395"/>
      </w:tblGrid>
      <w:tr w:rsidR="00EB058D" w:rsidRPr="00E6384D" w:rsidTr="00BF62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8D" w:rsidRPr="00E6384D" w:rsidRDefault="00EB058D" w:rsidP="00BF6252">
            <w:pPr>
              <w:spacing w:after="0" w:line="240" w:lineRule="auto"/>
              <w:ind w:left="-57"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</w:t>
            </w: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br/>
              <w:t>p.k.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Pielikuma nosaukums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Lpp. Skaits</w:t>
            </w:r>
          </w:p>
        </w:tc>
      </w:tr>
      <w:tr w:rsidR="00EB058D" w:rsidRPr="00E6384D" w:rsidTr="00BF62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Zemes dzīļu izmantošanas nosacījumi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</w:t>
            </w:r>
          </w:p>
        </w:tc>
      </w:tr>
      <w:tr w:rsidR="00EB058D" w:rsidRPr="00E6384D" w:rsidTr="00BF62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Karte vai plāns, kurā attēlo atradnes robežu, atļaujas adresāta īpašumā</w:t>
            </w:r>
            <w:proofErr w:type="gramStart"/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vai nomā esošo zemesgabalu robežas, atļaujas laukuma robežu ar robežpunktiem</w:t>
            </w:r>
            <w:proofErr w:type="gramEnd"/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; tabula ar robežpunktu koordinātām LKS-92 TM sistēmā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</w:t>
            </w:r>
          </w:p>
        </w:tc>
      </w:tr>
      <w:tr w:rsidR="00EB058D" w:rsidRPr="00E6384D" w:rsidTr="00BF62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Derīgo izrakteņu ieguves limits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</w:t>
            </w:r>
          </w:p>
        </w:tc>
      </w:tr>
    </w:tbl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Atļaujas pielikumi ir tās neatņemama sastāvdaļa. 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5"/>
        <w:gridCol w:w="6505"/>
      </w:tblGrid>
      <w:tr w:rsidR="00EB058D" w:rsidRPr="00E6384D" w:rsidTr="00BF6252">
        <w:tc>
          <w:tcPr>
            <w:tcW w:w="2190" w:type="dxa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Priekšsēdētājs 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058D" w:rsidRPr="00E6384D" w:rsidRDefault="00EB058D" w:rsidP="00E6384D">
            <w:pPr>
              <w:spacing w:after="0" w:line="240" w:lineRule="auto"/>
              <w:ind w:right="-93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                                                                                  Aigars </w:t>
            </w:r>
            <w:proofErr w:type="spellStart"/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Pušpurs</w:t>
            </w:r>
            <w:proofErr w:type="spellEnd"/>
          </w:p>
        </w:tc>
      </w:tr>
      <w:tr w:rsidR="00EB058D" w:rsidRPr="00E6384D" w:rsidTr="00BF6252">
        <w:tc>
          <w:tcPr>
            <w:tcW w:w="2190" w:type="dxa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6870" w:type="dxa"/>
            <w:hideMark/>
          </w:tcPr>
          <w:p w:rsidR="00EB058D" w:rsidRPr="00E6384D" w:rsidRDefault="00EB058D" w:rsidP="00BF6252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6384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(vārds, uzvārds, paraksts)</w:t>
            </w:r>
          </w:p>
        </w:tc>
      </w:tr>
    </w:tbl>
    <w:p w:rsidR="00EB058D" w:rsidRPr="00E6384D" w:rsidRDefault="00EB058D" w:rsidP="00EB058D">
      <w:pPr>
        <w:spacing w:after="0" w:line="240" w:lineRule="auto"/>
        <w:ind w:left="4320" w:right="-93" w:hanging="470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       Z.v.</w:t>
      </w:r>
    </w:p>
    <w:p w:rsidR="00EB058D" w:rsidRPr="00E6384D" w:rsidRDefault="00EB058D" w:rsidP="00EB058D">
      <w:pPr>
        <w:spacing w:after="0" w:line="240" w:lineRule="auto"/>
        <w:ind w:left="4320" w:right="-93" w:hanging="470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EB058D" w:rsidRPr="00E6384D" w:rsidRDefault="00EB058D" w:rsidP="00EB058D">
      <w:pPr>
        <w:spacing w:after="0" w:line="240" w:lineRule="auto"/>
        <w:ind w:left="4320" w:right="-93" w:hanging="470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left="4320" w:right="-93" w:hanging="470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EB058D" w:rsidRPr="00E6384D" w:rsidRDefault="00EB058D" w:rsidP="00EB058D">
      <w:pPr>
        <w:tabs>
          <w:tab w:val="left" w:pos="2520"/>
        </w:tabs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Domes priekšsēdētājs</w:t>
      </w:r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                                                                                 </w:t>
      </w:r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A.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Pušpurs</w:t>
      </w:r>
      <w:proofErr w:type="spellEnd"/>
    </w:p>
    <w:p w:rsidR="00EB058D" w:rsidRPr="00E6384D" w:rsidRDefault="00EB058D" w:rsidP="00EB058D">
      <w:pPr>
        <w:tabs>
          <w:tab w:val="left" w:pos="2520"/>
        </w:tabs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EB058D" w:rsidRPr="00E6384D" w:rsidRDefault="00EB058D" w:rsidP="00EB058D">
      <w:pPr>
        <w:tabs>
          <w:tab w:val="left" w:pos="2520"/>
        </w:tabs>
        <w:spacing w:after="0" w:line="240" w:lineRule="auto"/>
        <w:ind w:right="-93"/>
        <w:jc w:val="right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EB058D" w:rsidRPr="00E6384D" w:rsidRDefault="00EB058D" w:rsidP="00EB058D">
      <w:pPr>
        <w:tabs>
          <w:tab w:val="left" w:pos="2520"/>
        </w:tabs>
        <w:spacing w:after="0" w:line="240" w:lineRule="auto"/>
        <w:ind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/>
          <w:color w:val="000000"/>
          <w:sz w:val="24"/>
          <w:szCs w:val="24"/>
          <w:lang w:val="lv-LV"/>
        </w:rPr>
        <w:t>1.PIELIKUMS</w:t>
      </w:r>
    </w:p>
    <w:p w:rsidR="00EB058D" w:rsidRPr="00E6384D" w:rsidRDefault="00EB058D" w:rsidP="00EB058D">
      <w:pPr>
        <w:spacing w:after="0" w:line="240" w:lineRule="auto"/>
        <w:ind w:left="426"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Balvu novada Domes</w:t>
      </w:r>
    </w:p>
    <w:p w:rsidR="00EB058D" w:rsidRPr="00E6384D" w:rsidRDefault="00EB058D" w:rsidP="00EB058D">
      <w:pPr>
        <w:spacing w:after="0" w:line="240" w:lineRule="auto"/>
        <w:ind w:left="426" w:right="-93"/>
        <w:jc w:val="right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proofErr w:type="spellStart"/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2020.gada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</w:t>
      </w:r>
      <w:r w:rsidR="00E6384D" w:rsidRPr="00E6384D">
        <w:rPr>
          <w:rFonts w:ascii="Times New Roman" w:hAnsi="Times New Roman"/>
          <w:color w:val="000000"/>
          <w:sz w:val="24"/>
          <w:szCs w:val="24"/>
          <w:lang w:val="lv-LV"/>
        </w:rPr>
        <w:t>0</w:t>
      </w: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.marta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E6384D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Bieži sastopamo </w:t>
      </w:r>
    </w:p>
    <w:p w:rsidR="00EB058D" w:rsidRPr="00E6384D" w:rsidRDefault="00EB058D" w:rsidP="00EB058D">
      <w:pPr>
        <w:spacing w:after="0" w:line="240" w:lineRule="auto"/>
        <w:ind w:left="426" w:right="-93"/>
        <w:jc w:val="right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Cs/>
          <w:color w:val="000000"/>
          <w:sz w:val="24"/>
          <w:szCs w:val="24"/>
          <w:lang w:val="lv-LV"/>
        </w:rPr>
        <w:t>derīgo izrakteņu ieguves atļaujai Nr. 1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b/>
          <w:color w:val="000000"/>
          <w:sz w:val="24"/>
          <w:szCs w:val="24"/>
          <w:lang w:val="lv-LV"/>
        </w:rPr>
        <w:t>Zemes dzīļu izmantošanas nosacījumi</w:t>
      </w:r>
    </w:p>
    <w:p w:rsidR="00EB058D" w:rsidRPr="00E6384D" w:rsidRDefault="00EB058D" w:rsidP="00EB058D">
      <w:pPr>
        <w:spacing w:after="0" w:line="240" w:lineRule="auto"/>
        <w:ind w:right="-9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1. Bieži sastopamo derīgo izrakteņu atļauja (turpmāk – atļauja) izsniegta SIA „LIEPAS Z”,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reģ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.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Nr.43401000142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, smilts-grants un smilts atradnei „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Augstasils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II”, Briežuciema pagastā, Balvu novadā, saskaņā ar likuma „Par zemes dzīlēm” 4. panta 5. daļu.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2. Atļauja dod tiesības atļaujas adresātam veikt smilts atradnē</w:t>
      </w:r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 </w:t>
      </w:r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“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Augstasils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II”, kas izvietota atļaujas adresāta zemes īpašumā „Liepas Z”, Briežuciema pagastā, Balvu novadā, kadastra apzīmējums 3852 002 0230, kopējā platībā  1,31 ha.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3. Derīgo izrakteņu ieguve atradnē „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Augstasils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II” atļauta tikai saskaņā ar Latvijas ģeoloģijas pārvaldes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1974.-</w:t>
      </w:r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1975.gadā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, projektēšanas institūta  „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Latgiprodortrans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”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1978.gadā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, projektēšanas institūta “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Meliorprojekts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”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1985.-1986.gadā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,  SIA ‘’ADVORS”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2009.gadā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ģeoloģiski izpētīto un atlikušo krājumu aprēķina pārskata datiem, kas uzrādīti Derīgo izrakteņu atradnes pasē. Ieguves vietas robežas norādītas atļaujas pielikumā.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4. Ekspluatējot atradni, jāievēro </w:t>
      </w:r>
      <w:proofErr w:type="spellStart"/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2012.gada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21.augusta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Ministru kabineta noteikumi Nr. 570 „Derīgo izrakteņu ieguves kārtība”, kā arī citi saistošie noteikumi.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5. Pirms derīgo izrakteņu ieguves, izstrādāt derīgo izrakteņu ieguves projektu, kurš veidots un saskaņots atbilstoši </w:t>
      </w:r>
      <w:proofErr w:type="spellStart"/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2012.gada</w:t>
      </w:r>
      <w:proofErr w:type="spellEnd"/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21.augusta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Ministru kabineta noteikumiem Nr. 570 „Derīgo izrakteņu ieguves kārtība”.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6. Pirms ieguves darbu uzsākšanas, noteikt par ieguves darbu norisi un iegūto derīgo izrakteņu apjomu uzskaiti atbildīgo darbinieku.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7. Pirms derīgo izrakteņu ieguves vietas sagatavošanas, jāsaņem zemes transformācijas atļauja normatīvajos aktos noteiktajā kārtībā.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8. Pirms ieguves darbu uzsākšanas nostiprināt dabā licences laukuma robežpunktus, kurā,</w:t>
      </w:r>
      <w:proofErr w:type="gram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 </w:t>
      </w:r>
      <w:proofErr w:type="gram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saskaņā ar šo atļauju, notiks derīgo izrakteņu ieguve.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9. Karjera izstrāde veicama saskaņā ar apstiprinātu derīgo izrakteņu ieguves projektu.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10. Atradnes izstrādes dziļums nedrīkst pārsniegt derīgo izrakteņu krājumu aprēķina dziļumu.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proofErr w:type="spellStart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11.Veikt</w:t>
      </w:r>
      <w:proofErr w:type="spellEnd"/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 xml:space="preserve"> vides aizsardzības pasākumus, tai skaitā karjera izstrādes procesā nepieļaut pazemes ūdeņu piesārņošanu, kā arī nepieļaut nesankcionētu atkritumu izgāztuvju veidošanos izstrādātajos iecirkņos.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12. Nodrošināt iegūto derīgo izrakteņu uzskaiti, derīgo izrakteņu zudumu un krājumu atlikumu noteikšanu. Kontrolēt iegūto derīgo izrakteņu apjomu un krājumu atlikumu noteikšanas precizitāti, veicot periodiskas topogrāfiskās uzmērīšanas karjerā.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13. Informāciju par derīgo izrakteņu ieguvi iesniegt Rēzeknes reģionālajā vides pārvaldē atbilstoši normatīvajos aktos noteiktajām prasībām.</w:t>
      </w:r>
    </w:p>
    <w:p w:rsidR="00EB058D" w:rsidRPr="00E6384D" w:rsidRDefault="00EB058D" w:rsidP="00EB058D">
      <w:pPr>
        <w:spacing w:after="0" w:line="240" w:lineRule="auto"/>
        <w:ind w:left="426" w:right="-93" w:hanging="284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14. Uzturēt kārtībā ceļus un iebrauktuves.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> </w:t>
      </w:r>
    </w:p>
    <w:p w:rsidR="00EB058D" w:rsidRPr="00E6384D" w:rsidRDefault="00EB058D" w:rsidP="00EB058D">
      <w:pPr>
        <w:tabs>
          <w:tab w:val="left" w:pos="2430"/>
        </w:tabs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ab/>
      </w:r>
    </w:p>
    <w:p w:rsidR="00EB058D" w:rsidRPr="00E6384D" w:rsidRDefault="00EB058D" w:rsidP="00EB058D">
      <w:pPr>
        <w:tabs>
          <w:tab w:val="left" w:pos="1140"/>
        </w:tabs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color w:val="000000"/>
          <w:sz w:val="24"/>
          <w:szCs w:val="24"/>
          <w:lang w:val="lv-LV"/>
        </w:rPr>
        <w:tab/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6384D">
        <w:rPr>
          <w:rFonts w:ascii="Times New Roman" w:hAnsi="Times New Roman"/>
          <w:sz w:val="24"/>
          <w:szCs w:val="24"/>
          <w:lang w:val="lv-LV"/>
        </w:rPr>
        <w:t>Domes priekšsēdētājs</w:t>
      </w:r>
      <w:proofErr w:type="gramStart"/>
      <w:r w:rsidRPr="00E6384D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</w:t>
      </w:r>
      <w:proofErr w:type="gramEnd"/>
      <w:r w:rsidRPr="00E6384D">
        <w:rPr>
          <w:rFonts w:ascii="Times New Roman" w:hAnsi="Times New Roman"/>
          <w:sz w:val="24"/>
          <w:szCs w:val="24"/>
          <w:lang w:val="lv-LV"/>
        </w:rPr>
        <w:t xml:space="preserve">A. </w:t>
      </w:r>
      <w:proofErr w:type="spellStart"/>
      <w:r w:rsidRPr="00E6384D">
        <w:rPr>
          <w:rFonts w:ascii="Times New Roman" w:hAnsi="Times New Roman"/>
          <w:sz w:val="24"/>
          <w:szCs w:val="24"/>
          <w:lang w:val="lv-LV"/>
        </w:rPr>
        <w:t>Pušpurs</w:t>
      </w:r>
      <w:proofErr w:type="spellEnd"/>
      <w:r w:rsidRPr="00E6384D">
        <w:rPr>
          <w:rFonts w:ascii="Times New Roman" w:hAnsi="Times New Roman"/>
          <w:sz w:val="24"/>
          <w:szCs w:val="24"/>
          <w:lang w:val="lv-LV"/>
        </w:rPr>
        <w:t xml:space="preserve">                 </w:t>
      </w:r>
      <w:r w:rsidRPr="00E6384D">
        <w:rPr>
          <w:rFonts w:ascii="Times New Roman" w:hAnsi="Times New Roman"/>
          <w:color w:val="FF0000"/>
          <w:sz w:val="24"/>
          <w:szCs w:val="24"/>
          <w:lang w:val="lv-LV"/>
        </w:rPr>
        <w:t xml:space="preserve">                   </w:t>
      </w:r>
    </w:p>
    <w:p w:rsidR="00EB058D" w:rsidRPr="00E6384D" w:rsidRDefault="00EB058D" w:rsidP="00EB058D">
      <w:pPr>
        <w:spacing w:after="0" w:line="240" w:lineRule="auto"/>
        <w:ind w:right="-93"/>
        <w:rPr>
          <w:rFonts w:ascii="Times New Roman" w:hAnsi="Times New Roman"/>
          <w:sz w:val="24"/>
          <w:szCs w:val="24"/>
          <w:lang w:val="lv-LV"/>
        </w:rPr>
      </w:pPr>
    </w:p>
    <w:p w:rsidR="00E76679" w:rsidRPr="00E6384D" w:rsidRDefault="00E76679">
      <w:pPr>
        <w:rPr>
          <w:lang w:val="lv-LV"/>
        </w:rPr>
      </w:pPr>
    </w:p>
    <w:sectPr w:rsidR="00E76679" w:rsidRPr="00E6384D" w:rsidSect="00E6384D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B058D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64A"/>
    <w:rsid w:val="00127D39"/>
    <w:rsid w:val="00127DF0"/>
    <w:rsid w:val="0013019E"/>
    <w:rsid w:val="001302D3"/>
    <w:rsid w:val="0013086D"/>
    <w:rsid w:val="001308E8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DF"/>
    <w:rsid w:val="00175BBF"/>
    <w:rsid w:val="00175E4B"/>
    <w:rsid w:val="00175F9D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7668"/>
    <w:rsid w:val="001A7C22"/>
    <w:rsid w:val="001B063D"/>
    <w:rsid w:val="001B0E8E"/>
    <w:rsid w:val="001B1458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1010"/>
    <w:rsid w:val="002316CF"/>
    <w:rsid w:val="00231EE4"/>
    <w:rsid w:val="00232283"/>
    <w:rsid w:val="00232D8C"/>
    <w:rsid w:val="002330A0"/>
    <w:rsid w:val="00233DB0"/>
    <w:rsid w:val="002350E4"/>
    <w:rsid w:val="002354BE"/>
    <w:rsid w:val="002357B5"/>
    <w:rsid w:val="002364C1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35"/>
    <w:rsid w:val="002B15F6"/>
    <w:rsid w:val="002B27E8"/>
    <w:rsid w:val="002B352A"/>
    <w:rsid w:val="002B35EF"/>
    <w:rsid w:val="002B396F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97"/>
    <w:rsid w:val="0031273C"/>
    <w:rsid w:val="00313759"/>
    <w:rsid w:val="00313AEB"/>
    <w:rsid w:val="00314237"/>
    <w:rsid w:val="00315394"/>
    <w:rsid w:val="00315D57"/>
    <w:rsid w:val="0031613C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3DCF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36C6"/>
    <w:rsid w:val="00354783"/>
    <w:rsid w:val="003549A7"/>
    <w:rsid w:val="00354AD4"/>
    <w:rsid w:val="00356134"/>
    <w:rsid w:val="00356715"/>
    <w:rsid w:val="00357B58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1C54"/>
    <w:rsid w:val="003C1CD0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D777F"/>
    <w:rsid w:val="003E03ED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3C7"/>
    <w:rsid w:val="004C65F2"/>
    <w:rsid w:val="004C67D0"/>
    <w:rsid w:val="004C6E68"/>
    <w:rsid w:val="004D002F"/>
    <w:rsid w:val="004D1267"/>
    <w:rsid w:val="004D1F0F"/>
    <w:rsid w:val="004D2280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7982"/>
    <w:rsid w:val="00540058"/>
    <w:rsid w:val="00540233"/>
    <w:rsid w:val="00540E1B"/>
    <w:rsid w:val="00541B8C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0C6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52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38D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2CD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6E0"/>
    <w:rsid w:val="006D7DCE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5F6"/>
    <w:rsid w:val="00744A6E"/>
    <w:rsid w:val="00745A45"/>
    <w:rsid w:val="00745B15"/>
    <w:rsid w:val="0074647C"/>
    <w:rsid w:val="00746692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B6F"/>
    <w:rsid w:val="007653EC"/>
    <w:rsid w:val="00765F19"/>
    <w:rsid w:val="00766C61"/>
    <w:rsid w:val="00770034"/>
    <w:rsid w:val="0077029F"/>
    <w:rsid w:val="00771363"/>
    <w:rsid w:val="007739EB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07F9E"/>
    <w:rsid w:val="008107EA"/>
    <w:rsid w:val="00810DC1"/>
    <w:rsid w:val="008113AE"/>
    <w:rsid w:val="008119BE"/>
    <w:rsid w:val="00811B7B"/>
    <w:rsid w:val="00811E27"/>
    <w:rsid w:val="00812A51"/>
    <w:rsid w:val="00814E63"/>
    <w:rsid w:val="00814F53"/>
    <w:rsid w:val="00816201"/>
    <w:rsid w:val="00816584"/>
    <w:rsid w:val="0081744C"/>
    <w:rsid w:val="00817C6C"/>
    <w:rsid w:val="00820A7C"/>
    <w:rsid w:val="00820B74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70A"/>
    <w:rsid w:val="00843409"/>
    <w:rsid w:val="0084481A"/>
    <w:rsid w:val="008462C5"/>
    <w:rsid w:val="008472E0"/>
    <w:rsid w:val="008472FA"/>
    <w:rsid w:val="0084749D"/>
    <w:rsid w:val="00847E0D"/>
    <w:rsid w:val="00847FEA"/>
    <w:rsid w:val="008502B7"/>
    <w:rsid w:val="00850C63"/>
    <w:rsid w:val="00851209"/>
    <w:rsid w:val="008530D5"/>
    <w:rsid w:val="0085444D"/>
    <w:rsid w:val="00855052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12EE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B5D"/>
    <w:rsid w:val="008D6BF9"/>
    <w:rsid w:val="008D7110"/>
    <w:rsid w:val="008D75C5"/>
    <w:rsid w:val="008D7A50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0E14"/>
    <w:rsid w:val="009211EE"/>
    <w:rsid w:val="009219D2"/>
    <w:rsid w:val="00921D33"/>
    <w:rsid w:val="00923691"/>
    <w:rsid w:val="0092419E"/>
    <w:rsid w:val="00925470"/>
    <w:rsid w:val="00925CE8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C97"/>
    <w:rsid w:val="00962C61"/>
    <w:rsid w:val="00962E36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3E1"/>
    <w:rsid w:val="00B2500A"/>
    <w:rsid w:val="00B25545"/>
    <w:rsid w:val="00B2760E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5795"/>
    <w:rsid w:val="00C0676C"/>
    <w:rsid w:val="00C06991"/>
    <w:rsid w:val="00C07365"/>
    <w:rsid w:val="00C0758E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57CF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D"/>
    <w:rsid w:val="00D10F35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4C89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4E40"/>
    <w:rsid w:val="00DF556B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F81"/>
    <w:rsid w:val="00E54E51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384D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58D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E06BF"/>
    <w:rsid w:val="00EE1E60"/>
    <w:rsid w:val="00EE299D"/>
    <w:rsid w:val="00EE2D7E"/>
    <w:rsid w:val="00EE2EC6"/>
    <w:rsid w:val="00EE3BD7"/>
    <w:rsid w:val="00EE3E54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348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B058D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EB058D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B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05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balvi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2020-03-23T08:40:00Z</dcterms:created>
  <dcterms:modified xsi:type="dcterms:W3CDTF">2020-03-25T06:59:00Z</dcterms:modified>
</cp:coreProperties>
</file>