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bookmarkStart w:id="0" w:name="_GoBack"/>
      <w:bookmarkStart w:id="1" w:name="_GoBack"/>
      <w:bookmarkEnd w:id="1"/>
    </w:p>
    <w:tbl>
      <w:tblPr>
        <w:tblW w:w="9214" w:type="dxa"/>
        <w:jc w:val="left"/>
        <w:tblInd w:w="108" w:type="dxa"/>
        <w:tblCellMar>
          <w:top w:w="0" w:type="dxa"/>
          <w:left w:w="108" w:type="dxa"/>
          <w:bottom w:w="0" w:type="dxa"/>
          <w:right w:w="108" w:type="dxa"/>
        </w:tblCellMar>
        <w:tblLook w:firstRow="1" w:noVBand="0" w:lastRow="1" w:firstColumn="1" w:lastColumn="1" w:noHBand="0" w:val="01e0"/>
      </w:tblPr>
      <w:tblGrid>
        <w:gridCol w:w="2126"/>
        <w:gridCol w:w="7087"/>
      </w:tblGrid>
      <w:tr>
        <w:trPr/>
        <w:tc>
          <w:tcPr>
            <w:tcW w:w="2126"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120" w:after="120"/>
              <w:rPr/>
            </w:pPr>
            <w:r>
              <w:rPr/>
              <w:t>Būvniecības ierosinātājs:</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rPr>
                <w:bCs/>
              </w:rPr>
            </w:pPr>
            <w:r>
              <w:rPr>
                <w:rFonts w:eastAsia="Arial"/>
                <w:bCs/>
                <w:shd w:fill="FFFFFF" w:val="clear"/>
              </w:rPr>
              <w:t xml:space="preserve">Balvu novada dome, </w:t>
            </w:r>
            <w:r>
              <w:rPr/>
              <w:t xml:space="preserve">reģ.Nr.40003304295¸ </w:t>
            </w:r>
            <w:r>
              <w:rPr>
                <w:rFonts w:eastAsia="Arial"/>
                <w:shd w:fill="FFFFFF" w:val="clear"/>
              </w:rPr>
              <w:t>Bērzpils iela 1a, Balvi, Balvu nov. LV-4501</w:t>
            </w:r>
            <w:r>
              <w:rPr>
                <w:bCs/>
              </w:rPr>
              <w:t>.</w:t>
            </w:r>
          </w:p>
        </w:tc>
      </w:tr>
      <w:tr>
        <w:trPr/>
        <w:tc>
          <w:tcPr>
            <w:tcW w:w="2126"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120" w:after="120"/>
              <w:rPr/>
            </w:pPr>
            <w:r>
              <w:rPr/>
              <w:t>Būvprojekta izstrādātājs:</w:t>
            </w:r>
          </w:p>
        </w:tc>
        <w:tc>
          <w:tcPr>
            <w:tcW w:w="70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uppressAutoHyphens w:val="true"/>
              <w:spacing w:lineRule="auto" w:line="276"/>
              <w:jc w:val="both"/>
              <w:rPr>
                <w:bCs/>
              </w:rPr>
            </w:pPr>
            <w:r>
              <w:rPr>
                <w:rFonts w:eastAsia="Arial"/>
                <w:bCs/>
                <w:shd w:fill="FFFFFF" w:val="clear"/>
              </w:rPr>
              <w:t xml:space="preserve">SBS </w:t>
            </w:r>
            <w:r>
              <w:rPr>
                <w:rFonts w:eastAsia="Arial"/>
                <w:bCs/>
                <w:color w:val="00000A"/>
                <w:shd w:fill="FFFFFF" w:val="clear"/>
              </w:rPr>
              <w:t>Design and Build</w:t>
            </w:r>
            <w:r>
              <w:rPr>
                <w:rFonts w:eastAsia="Arial"/>
                <w:bCs/>
                <w:shd w:fill="FFFFFF" w:val="clear"/>
              </w:rPr>
              <w:t xml:space="preserve">, SIA; </w:t>
            </w:r>
            <w:r>
              <w:rPr>
                <w:bCs/>
              </w:rPr>
              <w:t>reģ.Nr. </w:t>
            </w:r>
            <w:r>
              <w:rPr>
                <w:rFonts w:eastAsia="Arial"/>
                <w:color w:val="363636"/>
                <w:highlight w:val="white"/>
                <w:shd w:fill="FFFFFF" w:val="clear"/>
              </w:rPr>
              <w:t>42403034074</w:t>
            </w:r>
            <w:r>
              <w:rPr>
                <w:rFonts w:eastAsia="Arial"/>
                <w:color w:val="363636"/>
                <w:shd w:fill="FFFFFF" w:val="clear"/>
              </w:rPr>
              <w:t xml:space="preserve">; </w:t>
            </w:r>
            <w:r>
              <w:rPr>
                <w:bCs/>
              </w:rPr>
              <w:t>būvkomersanta reģ. Nr. </w:t>
            </w:r>
            <w:r>
              <w:rPr>
                <w:rFonts w:eastAsia="Arial"/>
                <w:shd w:fill="FFFFFF" w:val="clear"/>
              </w:rPr>
              <w:t>11651, Ezera iela 28-58, Balvi, Balvu nov.LV-4501.</w:t>
            </w:r>
          </w:p>
        </w:tc>
      </w:tr>
      <w:tr>
        <w:trPr/>
        <w:tc>
          <w:tcPr>
            <w:tcW w:w="2126"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120" w:after="120"/>
              <w:rPr/>
            </w:pPr>
            <w:r>
              <w:rPr/>
              <w:t>Būvprojekta UPP daļas izstrādātājs:</w:t>
            </w:r>
          </w:p>
        </w:tc>
        <w:tc>
          <w:tcPr>
            <w:tcW w:w="70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hd w:val="clear" w:color="auto" w:fill="FFFFFF"/>
              <w:tabs>
                <w:tab w:val="clear" w:pos="708"/>
                <w:tab w:val="left" w:pos="2707" w:leader="none"/>
                <w:tab w:val="left" w:pos="4387" w:leader="none"/>
                <w:tab w:val="left" w:pos="7056" w:leader="underscore"/>
              </w:tabs>
              <w:spacing w:before="120" w:after="120"/>
              <w:rPr/>
            </w:pPr>
            <w:r>
              <w:rPr>
                <w:rFonts w:eastAsia="Arial"/>
                <w:bCs/>
                <w:shd w:fill="FFFFFF" w:val="clear"/>
              </w:rPr>
              <w:t xml:space="preserve">SBS </w:t>
            </w:r>
            <w:r>
              <w:rPr>
                <w:rFonts w:eastAsia="Arial"/>
                <w:bCs/>
                <w:color w:val="00000A"/>
                <w:shd w:fill="FFFFFF" w:val="clear"/>
              </w:rPr>
              <w:t>Design and Build</w:t>
            </w:r>
            <w:r>
              <w:rPr>
                <w:rFonts w:eastAsia="Arial"/>
                <w:bCs/>
                <w:shd w:fill="FFFFFF" w:val="clear"/>
              </w:rPr>
              <w:t xml:space="preserve">, SIA; </w:t>
            </w:r>
            <w:r>
              <w:rPr>
                <w:bCs/>
              </w:rPr>
              <w:t>reģ.Nr. </w:t>
            </w:r>
            <w:r>
              <w:rPr>
                <w:rFonts w:eastAsia="Arial"/>
                <w:color w:val="363636"/>
                <w:highlight w:val="white"/>
                <w:shd w:fill="FFFFFF" w:val="clear"/>
              </w:rPr>
              <w:t>42403034074</w:t>
            </w:r>
            <w:r>
              <w:rPr>
                <w:rFonts w:eastAsia="Arial"/>
                <w:color w:val="363636"/>
                <w:shd w:fill="FFFFFF" w:val="clear"/>
              </w:rPr>
              <w:t xml:space="preserve">; </w:t>
            </w:r>
            <w:r>
              <w:rPr>
                <w:bCs/>
              </w:rPr>
              <w:t>būvkomersanta reģ. Nr. </w:t>
            </w:r>
            <w:r>
              <w:rPr>
                <w:rFonts w:eastAsia="Arial"/>
                <w:shd w:fill="FFFFFF" w:val="clear"/>
              </w:rPr>
              <w:t>11651, Ezera iela 28-58, Balvi, Balvu nov.LV-4501.</w:t>
            </w:r>
          </w:p>
        </w:tc>
      </w:tr>
      <w:tr>
        <w:trPr/>
        <w:tc>
          <w:tcPr>
            <w:tcW w:w="2126"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120" w:after="120"/>
              <w:rPr/>
            </w:pPr>
            <w:r>
              <w:rPr/>
              <w:t>Būvprojekta nosaukums:</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b/>
                <w:b/>
                <w:bCs/>
                <w:sz w:val="28"/>
                <w:szCs w:val="28"/>
              </w:rPr>
            </w:pPr>
            <w:r>
              <w:rPr>
                <w:rFonts w:eastAsia="Arial"/>
                <w:b/>
                <w:bCs/>
                <w:position w:val="-27"/>
                <w:sz w:val="28"/>
                <w:szCs w:val="28"/>
                <w:shd w:fill="FFFFFF" w:val="clear"/>
              </w:rPr>
              <w:t>Balvu Kultūras un atpūtas centra skatuves tehnoloģiju izbūve</w:t>
            </w:r>
          </w:p>
        </w:tc>
      </w:tr>
      <w:tr>
        <w:trPr/>
        <w:tc>
          <w:tcPr>
            <w:tcW w:w="2126"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120" w:after="120"/>
              <w:rPr/>
            </w:pPr>
            <w:r>
              <w:rPr/>
              <w:t>Būvprojekta adrese:</w:t>
            </w:r>
          </w:p>
        </w:tc>
        <w:tc>
          <w:tcPr>
            <w:tcW w:w="70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pPr>
            <w:r>
              <w:rPr>
                <w:rFonts w:eastAsia="Arial"/>
                <w:b/>
                <w:bCs/>
                <w:position w:val="-27"/>
                <w:sz w:val="28"/>
                <w:szCs w:val="28"/>
                <w:shd w:fill="FFFFFF" w:val="clear"/>
              </w:rPr>
              <w:t>Brīvības iela 61, Balvi, Balvu nov</w:t>
            </w:r>
            <w:r>
              <w:rPr>
                <w:rFonts w:eastAsia="Arial"/>
                <w:b/>
                <w:bCs/>
                <w:position w:val="-27"/>
                <w:sz w:val="28"/>
                <w:szCs w:val="28"/>
                <w:shd w:fill="FFFFFF" w:val="clear"/>
              </w:rPr>
              <w:t>ads</w:t>
            </w:r>
          </w:p>
        </w:tc>
      </w:tr>
      <w:tr>
        <w:trPr/>
        <w:tc>
          <w:tcPr>
            <w:tcW w:w="2126" w:type="dxa"/>
            <w:tcBorders>
              <w:top w:val="single" w:sz="4" w:space="0" w:color="000000"/>
              <w:left w:val="single" w:sz="4" w:space="0" w:color="000000"/>
              <w:bottom w:val="single" w:sz="4" w:space="0" w:color="000000"/>
              <w:right w:val="single" w:sz="4" w:space="0" w:color="000000"/>
            </w:tcBorders>
            <w:shd w:color="auto" w:fill="F2F2F2" w:val="clear"/>
            <w:vAlign w:val="center"/>
          </w:tcPr>
          <w:p>
            <w:pPr>
              <w:pStyle w:val="Normal"/>
              <w:spacing w:before="120" w:after="120"/>
              <w:rPr/>
            </w:pPr>
            <w:r>
              <w:rPr/>
              <w:t>Būvprojekta stadija:</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b/>
                <w:b/>
                <w:iCs/>
                <w:spacing w:val="-2"/>
                <w:sz w:val="28"/>
                <w:szCs w:val="28"/>
              </w:rPr>
            </w:pPr>
            <w:r>
              <w:rPr>
                <w:b/>
                <w:iCs/>
                <w:spacing w:val="-2"/>
                <w:sz w:val="28"/>
                <w:szCs w:val="28"/>
              </w:rPr>
              <w:t>Būvprojekts (BP)</w:t>
            </w:r>
          </w:p>
        </w:tc>
      </w:tr>
      <w:tr>
        <w:trPr/>
        <w:tc>
          <w:tcPr>
            <w:tcW w:w="2126"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120" w:after="120"/>
              <w:rPr/>
            </w:pPr>
            <w:r>
              <w:rPr/>
              <w:t>Būvprojekta daļa:</w:t>
            </w:r>
          </w:p>
        </w:tc>
        <w:tc>
          <w:tcPr>
            <w:tcW w:w="70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b/>
                <w:b/>
                <w:caps/>
                <w:sz w:val="28"/>
                <w:szCs w:val="28"/>
              </w:rPr>
            </w:pPr>
            <w:r>
              <w:rPr>
                <w:b/>
                <w:sz w:val="28"/>
                <w:szCs w:val="28"/>
              </w:rPr>
              <w:t xml:space="preserve">Ugunsdrošības pasākumu pārskats </w:t>
            </w:r>
            <w:r>
              <w:rPr>
                <w:b/>
                <w:caps/>
                <w:sz w:val="28"/>
                <w:szCs w:val="28"/>
              </w:rPr>
              <w:t>(UPP)</w:t>
            </w:r>
          </w:p>
        </w:tc>
      </w:tr>
      <w:tr>
        <w:trPr/>
        <w:tc>
          <w:tcPr>
            <w:tcW w:w="2126"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120" w:after="120"/>
              <w:rPr/>
            </w:pPr>
            <w:r>
              <w:rPr/>
              <w:t>Būvprojekta vadītājs</w:t>
            </w:r>
          </w:p>
        </w:tc>
        <w:tc>
          <w:tcPr>
            <w:tcW w:w="70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120"/>
              <w:ind w:right="170" w:hanging="0"/>
              <w:jc w:val="right"/>
              <w:rPr>
                <w:rStyle w:val="Strong"/>
                <w:b w:val="false"/>
                <w:b w:val="false"/>
                <w:bCs w:val="false"/>
              </w:rPr>
            </w:pPr>
            <w:r>
              <w:rPr>
                <w:b/>
                <w:bCs/>
                <w:iCs/>
              </w:rPr>
              <w:t>Mārtiņš Dadzītis</w:t>
            </w:r>
          </w:p>
          <w:p>
            <w:pPr>
              <w:pStyle w:val="Normal"/>
              <w:spacing w:before="120" w:after="120"/>
              <w:jc w:val="right"/>
              <w:rPr>
                <w:b/>
                <w:b/>
                <w:sz w:val="32"/>
                <w:szCs w:val="32"/>
              </w:rPr>
            </w:pPr>
            <w:r>
              <w:rPr/>
              <w:t>būvprakses</w:t>
            </w:r>
            <w:r>
              <w:rPr>
                <w:iCs/>
                <w:spacing w:val="-2"/>
              </w:rPr>
              <w:t xml:space="preserve"> sert.Nr.</w:t>
            </w:r>
            <w:r>
              <w:rPr/>
              <w:t>3-01523</w:t>
            </w:r>
          </w:p>
        </w:tc>
      </w:tr>
      <w:tr>
        <w:trPr/>
        <w:tc>
          <w:tcPr>
            <w:tcW w:w="2126"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120" w:after="120"/>
              <w:rPr/>
            </w:pPr>
            <w:r>
              <w:rPr/>
              <w:t>Būvprojekta UPP daļas vadītājs</w:t>
            </w:r>
          </w:p>
        </w:tc>
        <w:tc>
          <w:tcPr>
            <w:tcW w:w="70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120"/>
              <w:ind w:right="170" w:hanging="0"/>
              <w:jc w:val="right"/>
              <w:rPr>
                <w:rStyle w:val="Strong"/>
                <w:b w:val="false"/>
                <w:b w:val="false"/>
                <w:bCs w:val="false"/>
              </w:rPr>
            </w:pPr>
            <w:r>
              <w:rPr>
                <w:b/>
                <w:bCs/>
                <w:iCs/>
              </w:rPr>
              <w:t>Mārtiņš Dadzītis</w:t>
            </w:r>
          </w:p>
          <w:p>
            <w:pPr>
              <w:pStyle w:val="Normal"/>
              <w:spacing w:before="120" w:after="120"/>
              <w:jc w:val="right"/>
              <w:rPr>
                <w:b/>
                <w:b/>
                <w:sz w:val="32"/>
                <w:szCs w:val="32"/>
              </w:rPr>
            </w:pPr>
            <w:r>
              <w:rPr/>
              <w:t>būvprakses</w:t>
            </w:r>
            <w:r>
              <w:rPr>
                <w:iCs/>
                <w:spacing w:val="-2"/>
              </w:rPr>
              <w:t xml:space="preserve"> sert.Nr.</w:t>
            </w:r>
            <w:r>
              <w:rPr/>
              <w:t>3-01523</w:t>
            </w:r>
          </w:p>
        </w:tc>
      </w:tr>
      <w:tr>
        <w:trPr/>
        <w:tc>
          <w:tcPr>
            <w:tcW w:w="2126" w:type="dxa"/>
            <w:tcBorders>
              <w:top w:val="single" w:sz="4" w:space="0" w:color="000000"/>
              <w:left w:val="single" w:sz="4" w:space="0" w:color="000000"/>
              <w:bottom w:val="single" w:sz="4" w:space="0" w:color="000000"/>
              <w:right w:val="single" w:sz="4" w:space="0" w:color="000000"/>
            </w:tcBorders>
            <w:shd w:color="auto" w:fill="F2F2F2" w:val="clear"/>
          </w:tcPr>
          <w:p>
            <w:pPr>
              <w:pStyle w:val="Normal"/>
              <w:spacing w:before="120" w:after="120"/>
              <w:rPr/>
            </w:pPr>
            <w:r>
              <w:rPr/>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b/>
                <w:b/>
                <w:iCs/>
                <w:spacing w:val="-2"/>
                <w:sz w:val="28"/>
                <w:szCs w:val="28"/>
              </w:rPr>
            </w:pPr>
            <w:r>
              <w:rPr>
                <w:b/>
                <w:sz w:val="28"/>
                <w:szCs w:val="28"/>
              </w:rPr>
              <w:t>Rīgā, 2020</w:t>
            </w:r>
          </w:p>
        </w:tc>
      </w:tr>
    </w:tbl>
    <w:p>
      <w:pPr>
        <w:pStyle w:val="Heading1"/>
        <w:jc w:val="left"/>
        <w:rPr>
          <w:b w:val="false"/>
          <w:b w:val="false"/>
        </w:rPr>
      </w:pPr>
      <w:r>
        <w:rPr>
          <w:b w:val="false"/>
        </w:rPr>
      </w:r>
      <w:r>
        <w:br w:type="page"/>
      </w:r>
    </w:p>
    <w:p>
      <w:pPr>
        <w:pStyle w:val="Normal"/>
        <w:rPr/>
      </w:pPr>
      <w:r>
        <w:rPr/>
      </w:r>
    </w:p>
    <w:sdt>
      <w:sdtPr>
        <w:docPartObj>
          <w:docPartGallery w:val="Table of Contents"/>
          <w:docPartUnique w:val="true"/>
        </w:docPartObj>
      </w:sdtPr>
      <w:sdtContent>
        <w:p>
          <w:pPr>
            <w:pStyle w:val="TOCHeading"/>
            <w:rPr>
              <w:rFonts w:ascii="Times New Roman" w:hAnsi="Times New Roman" w:cs="Times New Roman"/>
              <w:b/>
              <w:b/>
              <w:bCs/>
              <w:color w:val="auto"/>
              <w:sz w:val="24"/>
              <w:szCs w:val="24"/>
            </w:rPr>
          </w:pPr>
          <w:r>
            <w:rPr>
              <w:rFonts w:cs="Times New Roman" w:ascii="Times New Roman" w:hAnsi="Times New Roman"/>
              <w:b/>
              <w:bCs/>
              <w:color w:val="auto"/>
              <w:sz w:val="24"/>
              <w:szCs w:val="24"/>
            </w:rPr>
            <w:t>Satura rādītājs</w:t>
          </w:r>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r>
            <w:fldChar w:fldCharType="begin"/>
          </w:r>
          <w:r>
            <w:rPr>
              <w:webHidden/>
              <w:rStyle w:val="IndexLink"/>
              <w:bCs/>
            </w:rPr>
            <w:instrText> TOC \z \o "1-3" \u \h</w:instrText>
          </w:r>
          <w:r>
            <w:rPr>
              <w:webHidden/>
              <w:rStyle w:val="IndexLink"/>
              <w:bCs/>
            </w:rPr>
            <w:fldChar w:fldCharType="separate"/>
          </w:r>
          <w:hyperlink w:anchor="_Toc30363431">
            <w:r>
              <w:rPr>
                <w:webHidden/>
                <w:rStyle w:val="IndexLink"/>
                <w:bCs/>
              </w:rPr>
              <w:t>1. Ievads</w:t>
            </w:r>
            <w:r>
              <w:rPr>
                <w:webHidden/>
              </w:rPr>
              <w:fldChar w:fldCharType="begin"/>
            </w:r>
            <w:r>
              <w:rPr>
                <w:webHidden/>
              </w:rPr>
              <w:instrText>PAGEREF _Toc30363431 \h</w:instrText>
            </w:r>
            <w:r>
              <w:rPr>
                <w:webHidden/>
              </w:rPr>
              <w:fldChar w:fldCharType="separate"/>
            </w:r>
            <w:r>
              <w:rPr>
                <w:rStyle w:val="IndexLink"/>
                <w:vanish w:val="false"/>
              </w:rPr>
              <w:tab/>
              <w:t>3</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32">
            <w:r>
              <w:rPr>
                <w:webHidden/>
                <w:rStyle w:val="IndexLink"/>
              </w:rPr>
              <w:t>1.1. Pārskata mērķi</w:t>
            </w:r>
            <w:r>
              <w:rPr>
                <w:webHidden/>
              </w:rPr>
              <w:fldChar w:fldCharType="begin"/>
            </w:r>
            <w:r>
              <w:rPr>
                <w:webHidden/>
              </w:rPr>
              <w:instrText>PAGEREF _Toc30363432 \h</w:instrText>
            </w:r>
            <w:r>
              <w:rPr>
                <w:webHidden/>
              </w:rPr>
              <w:fldChar w:fldCharType="separate"/>
            </w:r>
            <w:r>
              <w:rPr>
                <w:rStyle w:val="IndexLink"/>
                <w:vanish w:val="false"/>
              </w:rPr>
              <w:tab/>
              <w:t>3</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33">
            <w:r>
              <w:rPr>
                <w:webHidden/>
                <w:rStyle w:val="IndexLink"/>
              </w:rPr>
              <w:t>1.2. Izejas dati</w:t>
            </w:r>
            <w:r>
              <w:rPr>
                <w:webHidden/>
              </w:rPr>
              <w:fldChar w:fldCharType="begin"/>
            </w:r>
            <w:r>
              <w:rPr>
                <w:webHidden/>
              </w:rPr>
              <w:instrText>PAGEREF _Toc30363433 \h</w:instrText>
            </w:r>
            <w:r>
              <w:rPr>
                <w:webHidden/>
              </w:rPr>
              <w:fldChar w:fldCharType="separate"/>
            </w:r>
            <w:r>
              <w:rPr>
                <w:rStyle w:val="IndexLink"/>
                <w:vanish w:val="false"/>
              </w:rPr>
              <w:tab/>
              <w:t>3</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34">
            <w:r>
              <w:rPr>
                <w:webHidden/>
                <w:rStyle w:val="IndexLink"/>
              </w:rPr>
              <w:t>1.3. Normatīvie akti</w:t>
            </w:r>
            <w:r>
              <w:rPr>
                <w:webHidden/>
              </w:rPr>
              <w:fldChar w:fldCharType="begin"/>
            </w:r>
            <w:r>
              <w:rPr>
                <w:webHidden/>
              </w:rPr>
              <w:instrText>PAGEREF _Toc30363434 \h</w:instrText>
            </w:r>
            <w:r>
              <w:rPr>
                <w:webHidden/>
              </w:rPr>
              <w:fldChar w:fldCharType="separate"/>
            </w:r>
            <w:r>
              <w:rPr>
                <w:rStyle w:val="IndexLink"/>
                <w:vanish w:val="false"/>
              </w:rPr>
              <w:tab/>
              <w:t>3</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35">
            <w:r>
              <w:rPr>
                <w:webHidden/>
                <w:rStyle w:val="IndexLink"/>
              </w:rPr>
              <w:t>1.4. Termini un definīcijas. Apzīmējumi</w:t>
            </w:r>
            <w:r>
              <w:rPr>
                <w:webHidden/>
              </w:rPr>
              <w:fldChar w:fldCharType="begin"/>
            </w:r>
            <w:r>
              <w:rPr>
                <w:webHidden/>
              </w:rPr>
              <w:instrText>PAGEREF _Toc30363435 \h</w:instrText>
            </w:r>
            <w:r>
              <w:rPr>
                <w:webHidden/>
              </w:rPr>
              <w:fldChar w:fldCharType="separate"/>
            </w:r>
            <w:r>
              <w:rPr>
                <w:rStyle w:val="IndexLink"/>
                <w:vanish w:val="false"/>
              </w:rPr>
              <w:tab/>
              <w:t>4</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36">
            <w:r>
              <w:rPr>
                <w:webHidden/>
                <w:rStyle w:val="IndexLink"/>
              </w:rPr>
              <w:t>2. Objekta ugunsdrošības raksturlielumi</w:t>
            </w:r>
            <w:r>
              <w:rPr>
                <w:webHidden/>
              </w:rPr>
              <w:fldChar w:fldCharType="begin"/>
            </w:r>
            <w:r>
              <w:rPr>
                <w:webHidden/>
              </w:rPr>
              <w:instrText>PAGEREF _Toc30363436 \h</w:instrText>
            </w:r>
            <w:r>
              <w:rPr>
                <w:webHidden/>
              </w:rPr>
              <w:fldChar w:fldCharType="separate"/>
            </w:r>
            <w:r>
              <w:rPr>
                <w:rStyle w:val="IndexLink"/>
                <w:vanish w:val="false"/>
              </w:rPr>
              <w:tab/>
              <w:t>6</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37">
            <w:r>
              <w:rPr>
                <w:webHidden/>
                <w:rStyle w:val="IndexLink"/>
              </w:rPr>
              <w:t>2.1. Objekta raksturojums un tehniskie rādītāji</w:t>
            </w:r>
            <w:r>
              <w:rPr>
                <w:webHidden/>
              </w:rPr>
              <w:fldChar w:fldCharType="begin"/>
            </w:r>
            <w:r>
              <w:rPr>
                <w:webHidden/>
              </w:rPr>
              <w:instrText>PAGEREF _Toc30363437 \h</w:instrText>
            </w:r>
            <w:r>
              <w:rPr>
                <w:webHidden/>
              </w:rPr>
              <w:fldChar w:fldCharType="separate"/>
            </w:r>
            <w:r>
              <w:rPr>
                <w:rStyle w:val="IndexLink"/>
                <w:vanish w:val="false"/>
              </w:rPr>
              <w:tab/>
              <w:t>6</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38">
            <w:r>
              <w:rPr>
                <w:webHidden/>
                <w:rStyle w:val="IndexLink"/>
                <w:iCs/>
              </w:rPr>
              <w:t>2.1.1. Esošā situācija. Esošās būves raksturojums</w:t>
            </w:r>
            <w:r>
              <w:rPr>
                <w:webHidden/>
              </w:rPr>
              <w:fldChar w:fldCharType="begin"/>
            </w:r>
            <w:r>
              <w:rPr>
                <w:webHidden/>
              </w:rPr>
              <w:instrText>PAGEREF _Toc30363438 \h</w:instrText>
            </w:r>
            <w:r>
              <w:rPr>
                <w:webHidden/>
              </w:rPr>
              <w:fldChar w:fldCharType="separate"/>
            </w:r>
            <w:r>
              <w:rPr>
                <w:rStyle w:val="IndexLink"/>
                <w:vanish w:val="false"/>
              </w:rPr>
              <w:tab/>
              <w:t>6</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39">
            <w:r>
              <w:rPr>
                <w:webHidden/>
                <w:rStyle w:val="IndexLink"/>
                <w:iCs/>
              </w:rPr>
              <w:t>2.1.2. Balvu KAC skatuves tehnoloģiju izbūves būvprojekta risinājumi</w:t>
            </w:r>
            <w:r>
              <w:rPr>
                <w:webHidden/>
              </w:rPr>
              <w:fldChar w:fldCharType="begin"/>
            </w:r>
            <w:r>
              <w:rPr>
                <w:webHidden/>
              </w:rPr>
              <w:instrText>PAGEREF _Toc30363439 \h</w:instrText>
            </w:r>
            <w:r>
              <w:rPr>
                <w:webHidden/>
              </w:rPr>
              <w:fldChar w:fldCharType="separate"/>
            </w:r>
            <w:r>
              <w:rPr>
                <w:rStyle w:val="IndexLink"/>
                <w:vanish w:val="false"/>
              </w:rPr>
              <w:tab/>
              <w:t>6</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40">
            <w:r>
              <w:rPr>
                <w:webHidden/>
                <w:rStyle w:val="IndexLink"/>
              </w:rPr>
              <w:t>2.2. Lietošanas veids un ugunsslodze</w:t>
            </w:r>
            <w:r>
              <w:rPr>
                <w:webHidden/>
              </w:rPr>
              <w:fldChar w:fldCharType="begin"/>
            </w:r>
            <w:r>
              <w:rPr>
                <w:webHidden/>
              </w:rPr>
              <w:instrText>PAGEREF _Toc30363440 \h</w:instrText>
            </w:r>
            <w:r>
              <w:rPr>
                <w:webHidden/>
              </w:rPr>
              <w:fldChar w:fldCharType="separate"/>
            </w:r>
            <w:r>
              <w:rPr>
                <w:rStyle w:val="IndexLink"/>
                <w:vanish w:val="false"/>
              </w:rPr>
              <w:tab/>
              <w:t>7</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41">
            <w:r>
              <w:rPr>
                <w:webHidden/>
                <w:rStyle w:val="IndexLink"/>
              </w:rPr>
              <w:t>3. Ģenerālplāna ugunsdrošības risinājumi (ēku un būvju izvietošana, piebraukšanas ceļi, ārējo inženiertīklu izbūve, ugunsdzēsības un glābšanas darbu nodrošināšana)</w:t>
            </w:r>
            <w:r>
              <w:rPr>
                <w:webHidden/>
              </w:rPr>
              <w:fldChar w:fldCharType="begin"/>
            </w:r>
            <w:r>
              <w:rPr>
                <w:webHidden/>
              </w:rPr>
              <w:instrText>PAGEREF _Toc30363441 \h</w:instrText>
            </w:r>
            <w:r>
              <w:rPr>
                <w:webHidden/>
              </w:rPr>
              <w:fldChar w:fldCharType="separate"/>
            </w:r>
            <w:r>
              <w:rPr>
                <w:rStyle w:val="IndexLink"/>
                <w:vanish w:val="false"/>
              </w:rPr>
              <w:tab/>
              <w:t>7</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42">
            <w:r>
              <w:rPr>
                <w:webHidden/>
                <w:rStyle w:val="IndexLink"/>
              </w:rPr>
              <w:t>4. Ugunsdrošības prasības būvkonstrukcijām un plānošanas risinājumiem. Ēku ugunsnoturības pakāpes, nesošo un norobežojošo būvkonstrukciju ugunsizturība un ugunsreakcijas klases. Arhitektūras un būvkonstrukciju daļu ugunsdrošības risinājumi</w:t>
            </w:r>
            <w:r>
              <w:rPr>
                <w:webHidden/>
              </w:rPr>
              <w:fldChar w:fldCharType="begin"/>
            </w:r>
            <w:r>
              <w:rPr>
                <w:webHidden/>
              </w:rPr>
              <w:instrText>PAGEREF _Toc30363442 \h</w:instrText>
            </w:r>
            <w:r>
              <w:rPr>
                <w:webHidden/>
              </w:rPr>
              <w:fldChar w:fldCharType="separate"/>
            </w:r>
            <w:r>
              <w:rPr>
                <w:rStyle w:val="IndexLink"/>
                <w:vanish w:val="false"/>
              </w:rPr>
              <w:tab/>
              <w:t>7</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43">
            <w:r>
              <w:rPr>
                <w:webHidden/>
                <w:rStyle w:val="IndexLink"/>
              </w:rPr>
              <w:t xml:space="preserve">5. </w:t>
            </w:r>
            <w:r>
              <w:rPr>
                <w:rStyle w:val="IndexLink"/>
                <w:lang w:eastAsia="lv-LV"/>
              </w:rPr>
              <w:t>Ugunsdrošības inženiertehniskās</w:t>
            </w:r>
            <w:r>
              <w:rPr>
                <w:rStyle w:val="IndexLink"/>
              </w:rPr>
              <w:t xml:space="preserve"> sistēmas</w:t>
            </w:r>
            <w:r>
              <w:rPr>
                <w:webHidden/>
              </w:rPr>
              <w:fldChar w:fldCharType="begin"/>
            </w:r>
            <w:r>
              <w:rPr>
                <w:webHidden/>
              </w:rPr>
              <w:instrText>PAGEREF _Toc30363443 \h</w:instrText>
            </w:r>
            <w:r>
              <w:rPr>
                <w:webHidden/>
              </w:rPr>
              <w:fldChar w:fldCharType="separate"/>
            </w:r>
            <w:r>
              <w:rPr>
                <w:rStyle w:val="IndexLink"/>
                <w:vanish w:val="false"/>
              </w:rPr>
              <w:tab/>
              <w:t>8</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44">
            <w:r>
              <w:rPr>
                <w:webHidden/>
                <w:rStyle w:val="IndexLink"/>
              </w:rPr>
              <w:t>6. Paredzētie inženiertehnisko sistēmu ugunsdrošības risinājumi</w:t>
            </w:r>
            <w:r>
              <w:rPr>
                <w:webHidden/>
              </w:rPr>
              <w:fldChar w:fldCharType="begin"/>
            </w:r>
            <w:r>
              <w:rPr>
                <w:webHidden/>
              </w:rPr>
              <w:instrText>PAGEREF _Toc30363444 \h</w:instrText>
            </w:r>
            <w:r>
              <w:rPr>
                <w:webHidden/>
              </w:rPr>
              <w:fldChar w:fldCharType="separate"/>
            </w:r>
            <w:r>
              <w:rPr>
                <w:rStyle w:val="IndexLink"/>
                <w:vanish w:val="false"/>
              </w:rPr>
              <w:tab/>
              <w:t>8</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45">
            <w:r>
              <w:rPr>
                <w:webHidden/>
                <w:rStyle w:val="IndexLink"/>
              </w:rPr>
              <w:t>7. Manuālās (primārās) ugunsdzēsības iekārtas - ugunsdzēsības aparāti. Aprēķins</w:t>
            </w:r>
            <w:r>
              <w:rPr>
                <w:webHidden/>
              </w:rPr>
              <w:fldChar w:fldCharType="begin"/>
            </w:r>
            <w:r>
              <w:rPr>
                <w:webHidden/>
              </w:rPr>
              <w:instrText>PAGEREF _Toc30363445 \h</w:instrText>
            </w:r>
            <w:r>
              <w:rPr>
                <w:webHidden/>
              </w:rPr>
              <w:fldChar w:fldCharType="separate"/>
            </w:r>
            <w:r>
              <w:rPr>
                <w:rStyle w:val="IndexLink"/>
                <w:vanish w:val="false"/>
              </w:rPr>
              <w:tab/>
              <w:t>8</w:t>
            </w:r>
            <w:r>
              <w:rPr>
                <w:webHidden/>
              </w:rPr>
              <w:fldChar w:fldCharType="end"/>
            </w:r>
          </w:hyperlink>
        </w:p>
        <w:p>
          <w:pPr>
            <w:pStyle w:val="Contents1"/>
            <w:tabs>
              <w:tab w:val="clear" w:pos="708"/>
              <w:tab w:val="right" w:pos="8777" w:leader="dot"/>
            </w:tabs>
            <w:rPr>
              <w:rFonts w:ascii="Calibri" w:hAnsi="Calibri" w:eastAsia="" w:cs="" w:asciiTheme="minorHAnsi" w:cstheme="minorBidi" w:eastAsiaTheme="minorEastAsia" w:hAnsiTheme="minorHAnsi"/>
              <w:sz w:val="22"/>
              <w:szCs w:val="22"/>
              <w:lang w:eastAsia="lv-LV"/>
            </w:rPr>
          </w:pPr>
          <w:hyperlink w:anchor="_Toc30363446">
            <w:r>
              <w:rPr>
                <w:webHidden/>
                <w:rStyle w:val="IndexLink"/>
              </w:rPr>
              <w:t>9. Ugunsdrošības pasākumi ekspluatācijas stadijā</w:t>
            </w:r>
            <w:r>
              <w:rPr>
                <w:webHidden/>
              </w:rPr>
              <w:fldChar w:fldCharType="begin"/>
            </w:r>
            <w:r>
              <w:rPr>
                <w:webHidden/>
              </w:rPr>
              <w:instrText>PAGEREF _Toc30363446 \h</w:instrText>
            </w:r>
            <w:r>
              <w:rPr>
                <w:webHidden/>
              </w:rPr>
              <w:fldChar w:fldCharType="separate"/>
            </w:r>
            <w:r>
              <w:rPr>
                <w:rStyle w:val="IndexLink"/>
                <w:vanish w:val="false"/>
              </w:rPr>
              <w:tab/>
              <w:t>8</w:t>
            </w:r>
            <w:r>
              <w:rPr>
                <w:webHidden/>
              </w:rPr>
              <w:fldChar w:fldCharType="end"/>
            </w:r>
          </w:hyperlink>
        </w:p>
        <w:p>
          <w:pPr>
            <w:pStyle w:val="Normal"/>
            <w:rPr/>
          </w:pPr>
          <w:r>
            <w:rPr/>
          </w:r>
          <w:r>
            <w:rPr/>
            <w:fldChar w:fldCharType="end"/>
          </w:r>
        </w:p>
      </w:sdtContent>
    </w:sdt>
    <w:p>
      <w:pPr>
        <w:pStyle w:val="Normal"/>
        <w:rPr/>
      </w:pPr>
      <w:r>
        <w:rPr/>
      </w:r>
    </w:p>
    <w:p>
      <w:pPr>
        <w:pStyle w:val="Normal"/>
        <w:rPr>
          <w:highlight w:val="yellow"/>
        </w:rPr>
      </w:pPr>
      <w:r>
        <w:rPr>
          <w:highlight w:val="yellow"/>
        </w:rPr>
      </w:r>
      <w:r>
        <w:br w:type="page"/>
      </w:r>
    </w:p>
    <w:p>
      <w:pPr>
        <w:pStyle w:val="Normal"/>
        <w:numPr>
          <w:ilvl w:val="0"/>
          <w:numId w:val="0"/>
        </w:numPr>
        <w:jc w:val="center"/>
        <w:outlineLvl w:val="0"/>
        <w:rPr>
          <w:b/>
          <w:b/>
        </w:rPr>
      </w:pPr>
      <w:bookmarkStart w:id="2" w:name="_Toc30363431"/>
      <w:bookmarkStart w:id="3" w:name="_Toc30363198"/>
      <w:bookmarkStart w:id="4" w:name="_Toc30355810"/>
      <w:r>
        <w:rPr>
          <w:b/>
        </w:rPr>
        <w:t>1. Ievads</w:t>
      </w:r>
      <w:bookmarkEnd w:id="2"/>
      <w:bookmarkEnd w:id="3"/>
      <w:bookmarkEnd w:id="4"/>
    </w:p>
    <w:p>
      <w:pPr>
        <w:pStyle w:val="Normal"/>
        <w:jc w:val="both"/>
        <w:rPr/>
      </w:pPr>
      <w:r>
        <w:rPr/>
      </w:r>
    </w:p>
    <w:p>
      <w:pPr>
        <w:pStyle w:val="Heading1"/>
        <w:jc w:val="left"/>
        <w:rPr>
          <w:szCs w:val="24"/>
        </w:rPr>
      </w:pPr>
      <w:bookmarkStart w:id="5" w:name="_Toc30363432"/>
      <w:bookmarkStart w:id="6" w:name="_Toc30363199"/>
      <w:bookmarkStart w:id="7" w:name="_Toc30355811"/>
      <w:r>
        <w:rPr>
          <w:szCs w:val="24"/>
        </w:rPr>
        <w:t xml:space="preserve">1.1. Pārskata </w:t>
      </w:r>
      <w:r>
        <w:rPr/>
        <w:t>mērķi</w:t>
      </w:r>
      <w:bookmarkEnd w:id="5"/>
      <w:bookmarkEnd w:id="6"/>
      <w:bookmarkEnd w:id="7"/>
    </w:p>
    <w:p>
      <w:pPr>
        <w:pStyle w:val="Normal"/>
        <w:jc w:val="both"/>
        <w:rPr/>
      </w:pPr>
      <w:r>
        <w:rPr/>
      </w:r>
    </w:p>
    <w:p>
      <w:pPr>
        <w:pStyle w:val="Normal"/>
        <w:ind w:firstLine="360"/>
        <w:jc w:val="both"/>
        <w:rPr/>
      </w:pPr>
      <w:r>
        <w:rPr/>
        <w:t>Būvprojekta „</w:t>
      </w:r>
      <w:r>
        <w:rPr>
          <w:rFonts w:eastAsia="Arial"/>
          <w:shd w:fill="FFFFFF" w:val="clear"/>
        </w:rPr>
        <w:t>Balvu Kultūras un atpūtas centra skatuves tehnoloģiju izbūve Brīvības iela 61, Balvi, Balvu novads</w:t>
      </w:r>
      <w:r>
        <w:rPr/>
        <w:t>” (turpmāk tekstā – Būvprojekts) Ugunsdrošības pasākumu pārskats (turpmāk tekstā – Pārskats), izstrādāts, lai noteiktu un aprakstītu principiālus ugunsdrošības risinājumus un pasākumus projektējamajā Balvu KAC ēkā, realizējot būvprojektu.</w:t>
      </w:r>
    </w:p>
    <w:p>
      <w:pPr>
        <w:pStyle w:val="Normal"/>
        <w:ind w:firstLine="360"/>
        <w:jc w:val="both"/>
        <w:rPr/>
      </w:pPr>
      <w:r>
        <w:rPr/>
      </w:r>
    </w:p>
    <w:p>
      <w:pPr>
        <w:pStyle w:val="Normal"/>
        <w:ind w:firstLine="708"/>
        <w:jc w:val="both"/>
        <w:rPr/>
      </w:pPr>
      <w:r>
        <w:rPr/>
        <w:t>Saskaņā ar 2011. gada 9. marta Eiropas Parlamenta un Padomes regulas 305/2011/ES 1.pielikuma “Pamatprasības būvēm” 2.punkta “Ugunsdrošība” prasībām, būves jāprojektē un jābūvē tā, lai ugunsgrēka izcelšanās gadījumā:</w:t>
      </w:r>
    </w:p>
    <w:p>
      <w:pPr>
        <w:pStyle w:val="ListParagraph"/>
        <w:numPr>
          <w:ilvl w:val="0"/>
          <w:numId w:val="3"/>
        </w:numPr>
        <w:suppressAutoHyphens w:val="true"/>
        <w:spacing w:lineRule="auto" w:line="240"/>
        <w:jc w:val="both"/>
        <w:rPr/>
      </w:pPr>
      <w:r>
        <w:rPr/>
        <w:t>tās noteiktu laiku saglabātu nestspēju;</w:t>
      </w:r>
    </w:p>
    <w:p>
      <w:pPr>
        <w:pStyle w:val="ListParagraph"/>
        <w:numPr>
          <w:ilvl w:val="0"/>
          <w:numId w:val="3"/>
        </w:numPr>
        <w:suppressAutoHyphens w:val="true"/>
        <w:spacing w:lineRule="auto" w:line="240"/>
        <w:jc w:val="both"/>
        <w:rPr/>
      </w:pPr>
      <w:r>
        <w:rPr/>
        <w:t>ierobežotu uguns un dūmu izraisīšanos un izplatīšanos būvē;</w:t>
      </w:r>
    </w:p>
    <w:p>
      <w:pPr>
        <w:pStyle w:val="ListParagraph"/>
        <w:numPr>
          <w:ilvl w:val="0"/>
          <w:numId w:val="3"/>
        </w:numPr>
        <w:suppressAutoHyphens w:val="true"/>
        <w:spacing w:lineRule="auto" w:line="240"/>
        <w:jc w:val="both"/>
        <w:rPr/>
      </w:pPr>
      <w:r>
        <w:rPr/>
        <w:t>neradītu uguns izplatīšanās draudus blakusesošajām būvēm;</w:t>
      </w:r>
    </w:p>
    <w:p>
      <w:pPr>
        <w:pStyle w:val="ListParagraph"/>
        <w:numPr>
          <w:ilvl w:val="0"/>
          <w:numId w:val="3"/>
        </w:numPr>
        <w:suppressAutoHyphens w:val="true"/>
        <w:spacing w:lineRule="auto" w:line="240"/>
        <w:jc w:val="both"/>
        <w:rPr/>
      </w:pPr>
      <w:r>
        <w:rPr/>
        <w:t>būvēs esošie cilvēki varētu pamest būves vai tikt izglābti citādi;</w:t>
      </w:r>
    </w:p>
    <w:p>
      <w:pPr>
        <w:pStyle w:val="ListParagraph"/>
        <w:numPr>
          <w:ilvl w:val="0"/>
          <w:numId w:val="3"/>
        </w:numPr>
        <w:suppressAutoHyphens w:val="true"/>
        <w:spacing w:lineRule="auto" w:line="240"/>
        <w:jc w:val="both"/>
        <w:rPr/>
      </w:pPr>
      <w:r>
        <w:rPr/>
        <w:t>ņemtu vērā glābšanas komandu drošību.</w:t>
      </w:r>
    </w:p>
    <w:p>
      <w:pPr>
        <w:pStyle w:val="Normal"/>
        <w:jc w:val="both"/>
        <w:rPr/>
      </w:pPr>
      <w:r>
        <w:rPr/>
      </w:r>
    </w:p>
    <w:p>
      <w:pPr>
        <w:pStyle w:val="Normal"/>
        <w:ind w:firstLine="708"/>
        <w:jc w:val="both"/>
        <w:rPr/>
      </w:pPr>
      <w:r>
        <w:rPr/>
        <w:t>Veicot būvprojekta risinājumu izstrādi un detalizāciju, darbu veikšanas projektu izstrādi, jāievēro spēkā esošo būvnormatīvu un to izpildei piemērojamo standartu ugunsdrošības prasības (Pārskatā 1.3.sadaļa).</w:t>
      </w:r>
    </w:p>
    <w:p>
      <w:pPr>
        <w:pStyle w:val="Normal"/>
        <w:ind w:firstLine="720"/>
        <w:jc w:val="both"/>
        <w:rPr/>
      </w:pPr>
      <w:r>
        <w:rPr/>
        <w:t>Pārskats koriģējams gadījumā, ja principiāli tiek mainīti būvprojekta risinājumi vai saņemti ekspertu vai uzraudzības dienestu norādēs, kas skar ugunsdrošību.</w:t>
      </w:r>
    </w:p>
    <w:p>
      <w:pPr>
        <w:pStyle w:val="Normal"/>
        <w:rPr/>
      </w:pPr>
      <w:r>
        <w:rPr/>
      </w:r>
    </w:p>
    <w:p>
      <w:pPr>
        <w:pStyle w:val="Heading1"/>
        <w:tabs>
          <w:tab w:val="clear" w:pos="708"/>
          <w:tab w:val="left" w:pos="0" w:leader="none"/>
        </w:tabs>
        <w:suppressAutoHyphens w:val="true"/>
        <w:jc w:val="left"/>
        <w:rPr/>
      </w:pPr>
      <w:bookmarkStart w:id="8" w:name="_Toc30363433"/>
      <w:bookmarkStart w:id="9" w:name="_Toc30363200"/>
      <w:r>
        <w:rPr/>
        <w:t>1.2. Izejas dati</w:t>
      </w:r>
      <w:bookmarkEnd w:id="8"/>
      <w:bookmarkEnd w:id="9"/>
    </w:p>
    <w:p>
      <w:pPr>
        <w:pStyle w:val="Normal"/>
        <w:jc w:val="both"/>
        <w:rPr/>
      </w:pPr>
      <w:r>
        <w:rPr/>
      </w:r>
    </w:p>
    <w:p>
      <w:pPr>
        <w:pStyle w:val="Normal"/>
        <w:ind w:firstLine="720"/>
        <w:jc w:val="both"/>
        <w:rPr/>
      </w:pPr>
      <w:r>
        <w:rPr/>
        <w:t>Ugunsdrošības pasākumu pārskats izstrādāts, pamatojoties uz šādiem dokumentiem:</w:t>
      </w:r>
    </w:p>
    <w:p>
      <w:pPr>
        <w:pStyle w:val="ListParagraph"/>
        <w:numPr>
          <w:ilvl w:val="0"/>
          <w:numId w:val="2"/>
        </w:numPr>
        <w:spacing w:lineRule="auto" w:line="240"/>
        <w:jc w:val="both"/>
        <w:rPr>
          <w:szCs w:val="24"/>
        </w:rPr>
      </w:pPr>
      <w:r>
        <w:rPr>
          <w:szCs w:val="24"/>
        </w:rPr>
        <w:t xml:space="preserve">konkursa ar </w:t>
      </w:r>
      <w:r>
        <w:rPr>
          <w:sz w:val="23"/>
          <w:szCs w:val="23"/>
        </w:rPr>
        <w:t xml:space="preserve">ID Nr. BNP TI 2019/23 </w:t>
      </w:r>
      <w:r>
        <w:rPr>
          <w:szCs w:val="24"/>
        </w:rPr>
        <w:t>tehniskā specifikācija (projektēšanas uzdevums) būvprojektam “Balvu Kultūras un Atpūtas centra skatuve tehnoloģiju izbūve”;</w:t>
      </w:r>
    </w:p>
    <w:p>
      <w:pPr>
        <w:pStyle w:val="Normal"/>
        <w:numPr>
          <w:ilvl w:val="0"/>
          <w:numId w:val="2"/>
        </w:numPr>
        <w:jc w:val="both"/>
        <w:rPr/>
      </w:pPr>
      <w:r>
        <w:rPr/>
        <w:t>Būvprojekta “Balvu Kultūras un Atpūtas centra skatuve tehnoloģiju izbūve” risinājumi.</w:t>
      </w:r>
    </w:p>
    <w:p>
      <w:pPr>
        <w:pStyle w:val="Normal"/>
        <w:jc w:val="both"/>
        <w:rPr/>
      </w:pPr>
      <w:r>
        <w:rPr/>
      </w:r>
    </w:p>
    <w:p>
      <w:pPr>
        <w:pStyle w:val="Heading1"/>
        <w:jc w:val="left"/>
        <w:rPr>
          <w:szCs w:val="24"/>
        </w:rPr>
      </w:pPr>
      <w:bookmarkStart w:id="10" w:name="_Toc30363434"/>
      <w:bookmarkStart w:id="11" w:name="_Toc30363201"/>
      <w:r>
        <w:rPr>
          <w:szCs w:val="24"/>
        </w:rPr>
        <w:t>1.3. Normatīvie akti</w:t>
      </w:r>
      <w:bookmarkEnd w:id="10"/>
      <w:bookmarkEnd w:id="11"/>
    </w:p>
    <w:p>
      <w:pPr>
        <w:pStyle w:val="Normal"/>
        <w:jc w:val="both"/>
        <w:rPr/>
      </w:pPr>
      <w:r>
        <w:rPr/>
      </w:r>
    </w:p>
    <w:p>
      <w:pPr>
        <w:pStyle w:val="Normal"/>
        <w:ind w:firstLine="720"/>
        <w:jc w:val="both"/>
        <w:rPr/>
      </w:pPr>
      <w:r>
        <w:rPr/>
        <w:t>Saskaņā ar Būvniecības likuma un Vispārīgo būvnoteikumu prasībām, būvobjekta ugunsdrošības risinājumi jāparedz atbilstoši Latvijas būvnormatīvu, kā arī būvniecību reglamentējošo normatīvo aktu, standartu un tehnisko noteikumu prasībām.</w:t>
      </w:r>
    </w:p>
    <w:p>
      <w:pPr>
        <w:pStyle w:val="Normal"/>
        <w:ind w:firstLine="708"/>
        <w:jc w:val="both"/>
        <w:rPr>
          <w:lang w:eastAsia="lv-LV"/>
        </w:rPr>
      </w:pPr>
      <w:r>
        <w:rPr>
          <w:lang w:eastAsia="lv-LV"/>
        </w:rPr>
      </w:r>
    </w:p>
    <w:p>
      <w:pPr>
        <w:pStyle w:val="Normal"/>
        <w:ind w:firstLine="708"/>
        <w:jc w:val="both"/>
        <w:rPr>
          <w:u w:val="single"/>
        </w:rPr>
      </w:pPr>
      <w:r>
        <w:rPr>
          <w:lang w:eastAsia="lv-LV"/>
        </w:rPr>
        <w:t>Saskaņā ar Būvniecības likuma 9.1. panta (2) punkta prasībām, būvnormatīvu tehniskās prasības piemēro jaunas būves būvniecībai, novietošanai, inženiertīklu ierīkošanai, būves pārbūvei, atjaunošanai, konservācijai un restaurācijai. Atjaunojot, pārbūvējot, restaurējot vai konservējot būvi daļēji, būvnormatīvu tehniskās prasības ir piemērojamas attiecībā uz atjaunojamo, pārbūvējamo, restaurējamo un konservējamo daļu.</w:t>
      </w:r>
    </w:p>
    <w:p>
      <w:pPr>
        <w:pStyle w:val="Normal"/>
        <w:ind w:firstLine="720"/>
        <w:jc w:val="both"/>
        <w:rPr>
          <w:lang w:eastAsia="lv-LV"/>
        </w:rPr>
      </w:pPr>
      <w:r>
        <w:rPr>
          <w:lang w:eastAsia="lv-LV"/>
        </w:rPr>
      </w:r>
    </w:p>
    <w:p>
      <w:pPr>
        <w:pStyle w:val="Normal"/>
        <w:ind w:firstLine="720"/>
        <w:jc w:val="both"/>
        <w:rPr/>
      </w:pPr>
      <w:r>
        <w:rPr>
          <w:lang w:eastAsia="lv-LV"/>
        </w:rPr>
        <w:t>Atbilstoši LBN 201-15 3.p. prasībām, būves vai tās daļas atjaunošana, pārbūve, novietošanas, lietošanas veida maiņa un restaurācija nedrīkst pazemināt būves ugunsdrošību.</w:t>
      </w:r>
    </w:p>
    <w:p>
      <w:pPr>
        <w:pStyle w:val="Normal"/>
        <w:ind w:firstLine="708"/>
        <w:jc w:val="both"/>
        <w:rPr/>
      </w:pPr>
      <w:r>
        <w:rPr/>
      </w:r>
    </w:p>
    <w:p>
      <w:pPr>
        <w:pStyle w:val="Normal"/>
        <w:ind w:firstLine="708"/>
        <w:jc w:val="both"/>
        <w:rPr/>
      </w:pPr>
      <w:r>
        <w:rPr/>
        <w:t>Normatīvie akti, kas nosaka ugunsdrošības prasības projektējamajam objektam un kas izmantojami ugunsdrošības risinājumu projektēšanā, ir šādi:</w:t>
      </w:r>
    </w:p>
    <w:p>
      <w:pPr>
        <w:pStyle w:val="Normal"/>
        <w:jc w:val="both"/>
        <w:rPr>
          <w:u w:val="single"/>
        </w:rPr>
      </w:pPr>
      <w:r>
        <w:rPr>
          <w:u w:val="single"/>
        </w:rPr>
      </w:r>
    </w:p>
    <w:p>
      <w:pPr>
        <w:pStyle w:val="ListParagraph"/>
        <w:numPr>
          <w:ilvl w:val="0"/>
          <w:numId w:val="6"/>
        </w:numPr>
        <w:jc w:val="both"/>
        <w:rPr>
          <w:u w:val="single"/>
        </w:rPr>
      </w:pPr>
      <w:r>
        <w:rPr>
          <w:u w:val="single"/>
        </w:rPr>
        <w:t>Latvijas būvnormatīvi</w:t>
      </w:r>
    </w:p>
    <w:p>
      <w:pPr>
        <w:pStyle w:val="Normal"/>
        <w:numPr>
          <w:ilvl w:val="0"/>
          <w:numId w:val="1"/>
        </w:numPr>
        <w:tabs>
          <w:tab w:val="clear" w:pos="708"/>
          <w:tab w:val="left" w:pos="0" w:leader="none"/>
        </w:tabs>
        <w:jc w:val="both"/>
        <w:rPr/>
      </w:pPr>
      <w:r>
        <w:rPr/>
        <w:t xml:space="preserve">LBN 201-15 „Būvju ugunsdrošība” (ar grozījumiem, kas veikti ar Ministru kabineta 22.10.2019. </w:t>
      </w:r>
      <w:r>
        <w:rPr>
          <w:lang w:eastAsia="lv-LV"/>
        </w:rPr>
        <w:t>noteikumiem Nr.484)</w:t>
      </w:r>
      <w:r>
        <w:rPr/>
        <w:t>;</w:t>
      </w:r>
    </w:p>
    <w:p>
      <w:pPr>
        <w:pStyle w:val="Normal"/>
        <w:numPr>
          <w:ilvl w:val="0"/>
          <w:numId w:val="1"/>
        </w:numPr>
        <w:tabs>
          <w:tab w:val="clear" w:pos="708"/>
          <w:tab w:val="left" w:pos="0" w:leader="none"/>
        </w:tabs>
        <w:jc w:val="both"/>
        <w:rPr/>
      </w:pPr>
      <w:r>
        <w:rPr>
          <w:bCs/>
        </w:rPr>
        <w:t>LBN 203-15 "Betona būvkonstrukciju projektēšana";</w:t>
      </w:r>
    </w:p>
    <w:p>
      <w:pPr>
        <w:pStyle w:val="Normal"/>
        <w:numPr>
          <w:ilvl w:val="0"/>
          <w:numId w:val="1"/>
        </w:numPr>
        <w:tabs>
          <w:tab w:val="clear" w:pos="708"/>
          <w:tab w:val="left" w:pos="0" w:leader="none"/>
        </w:tabs>
        <w:jc w:val="both"/>
        <w:rPr/>
      </w:pPr>
      <w:r>
        <w:rPr/>
        <w:t>LBN 204-14 "Tērauda būvkonstrukciju projektēšana";</w:t>
      </w:r>
    </w:p>
    <w:p>
      <w:pPr>
        <w:pStyle w:val="Normal"/>
        <w:numPr>
          <w:ilvl w:val="0"/>
          <w:numId w:val="1"/>
        </w:numPr>
        <w:tabs>
          <w:tab w:val="clear" w:pos="708"/>
          <w:tab w:val="left" w:pos="0" w:leader="none"/>
        </w:tabs>
        <w:jc w:val="both"/>
        <w:rPr/>
      </w:pPr>
      <w:r>
        <w:rPr/>
        <w:t>LBN 205-15 "Mūra būvkonstrukciju projektēšana";</w:t>
      </w:r>
    </w:p>
    <w:p>
      <w:pPr>
        <w:pStyle w:val="Normal"/>
        <w:numPr>
          <w:ilvl w:val="0"/>
          <w:numId w:val="1"/>
        </w:numPr>
        <w:tabs>
          <w:tab w:val="clear" w:pos="708"/>
          <w:tab w:val="left" w:pos="0" w:leader="none"/>
        </w:tabs>
        <w:jc w:val="both"/>
        <w:rPr/>
      </w:pPr>
      <w:r>
        <w:rPr>
          <w:spacing w:val="-1"/>
        </w:rPr>
        <w:t>LBN 208-15 „Publiskās būves”;</w:t>
      </w:r>
    </w:p>
    <w:p>
      <w:pPr>
        <w:pStyle w:val="Normal"/>
        <w:numPr>
          <w:ilvl w:val="0"/>
          <w:numId w:val="1"/>
        </w:numPr>
        <w:tabs>
          <w:tab w:val="clear" w:pos="708"/>
          <w:tab w:val="left" w:pos="0" w:leader="none"/>
        </w:tabs>
        <w:jc w:val="both"/>
        <w:rPr/>
      </w:pPr>
      <w:r>
        <w:rPr/>
        <w:t xml:space="preserve">LBN 221-15 „Ēku iekšējais ūdensvads un kanalizācija” (ar grozījumiem, kas veikti ar Ministru kabineta </w:t>
      </w:r>
      <w:r>
        <w:rPr>
          <w:lang w:eastAsia="lv-LV"/>
        </w:rPr>
        <w:t>07.03.2017. noteikumiem Nr. 134)</w:t>
      </w:r>
      <w:r>
        <w:rPr/>
        <w:t>;</w:t>
      </w:r>
    </w:p>
    <w:p>
      <w:pPr>
        <w:pStyle w:val="Normal"/>
        <w:numPr>
          <w:ilvl w:val="0"/>
          <w:numId w:val="1"/>
        </w:numPr>
        <w:tabs>
          <w:tab w:val="clear" w:pos="708"/>
          <w:tab w:val="left" w:pos="0" w:leader="none"/>
        </w:tabs>
        <w:jc w:val="both"/>
        <w:rPr/>
      </w:pPr>
      <w:r>
        <w:rPr/>
        <w:t xml:space="preserve">LBN 222-15 „Ūdensapgādes būves” (ar grozījumiem, kas veikti ar Ministru kabineta </w:t>
      </w:r>
      <w:r>
        <w:rPr>
          <w:lang w:eastAsia="lv-LV"/>
        </w:rPr>
        <w:t>07.03.2017. noteikumiem Nr. 122)</w:t>
      </w:r>
      <w:r>
        <w:rPr/>
        <w:t>;</w:t>
      </w:r>
    </w:p>
    <w:p>
      <w:pPr>
        <w:pStyle w:val="Normal"/>
        <w:numPr>
          <w:ilvl w:val="0"/>
          <w:numId w:val="1"/>
        </w:numPr>
        <w:tabs>
          <w:tab w:val="clear" w:pos="708"/>
          <w:tab w:val="left" w:pos="0" w:leader="none"/>
        </w:tabs>
        <w:jc w:val="both"/>
        <w:rPr/>
      </w:pPr>
      <w:r>
        <w:rPr/>
        <w:t>LBN 231-15 „Dzīvojamo un publisko ēku apkure un ventilācija”;</w:t>
      </w:r>
    </w:p>
    <w:p>
      <w:pPr>
        <w:pStyle w:val="Normal"/>
        <w:numPr>
          <w:ilvl w:val="0"/>
          <w:numId w:val="1"/>
        </w:numPr>
        <w:tabs>
          <w:tab w:val="clear" w:pos="708"/>
          <w:tab w:val="left" w:pos="0" w:leader="none"/>
        </w:tabs>
        <w:jc w:val="both"/>
        <w:rPr/>
      </w:pPr>
      <w:r>
        <w:rPr/>
        <w:t>LBN 261-15 "Ēku iekšējo elektroinstalāciju izbūve";</w:t>
      </w:r>
    </w:p>
    <w:p>
      <w:pPr>
        <w:pStyle w:val="Normal"/>
        <w:numPr>
          <w:ilvl w:val="0"/>
          <w:numId w:val="1"/>
        </w:numPr>
        <w:tabs>
          <w:tab w:val="clear" w:pos="708"/>
          <w:tab w:val="left" w:pos="0" w:leader="none"/>
        </w:tabs>
        <w:jc w:val="both"/>
        <w:rPr/>
      </w:pPr>
      <w:r>
        <w:rPr/>
        <w:t>LBN 262-15 "</w:t>
      </w:r>
      <w:r>
        <w:rPr>
          <w:bCs/>
          <w:lang w:eastAsia="lv-LV"/>
        </w:rPr>
        <w:t xml:space="preserve"> Elektronisko sakaru tīkli</w:t>
      </w:r>
      <w:r>
        <w:rPr/>
        <w:t>";</w:t>
      </w:r>
    </w:p>
    <w:p>
      <w:pPr>
        <w:pStyle w:val="Normal"/>
        <w:ind w:left="360" w:hanging="0"/>
        <w:jc w:val="both"/>
        <w:rPr/>
      </w:pPr>
      <w:r>
        <w:rPr/>
      </w:r>
    </w:p>
    <w:p>
      <w:pPr>
        <w:pStyle w:val="ListParagraph"/>
        <w:numPr>
          <w:ilvl w:val="0"/>
          <w:numId w:val="6"/>
        </w:numPr>
        <w:jc w:val="both"/>
        <w:rPr/>
      </w:pPr>
      <w:r>
        <w:rPr/>
        <w:t>Latvijas būvnormatīvu izpildei piemērojamie standarti.</w:t>
      </w:r>
    </w:p>
    <w:p>
      <w:pPr>
        <w:pStyle w:val="Normal"/>
        <w:jc w:val="both"/>
        <w:rPr>
          <w:u w:val="single"/>
        </w:rPr>
      </w:pPr>
      <w:r>
        <w:rPr>
          <w:u w:val="single"/>
        </w:rPr>
      </w:r>
    </w:p>
    <w:p>
      <w:pPr>
        <w:pStyle w:val="Normal"/>
        <w:ind w:firstLine="708"/>
        <w:jc w:val="both"/>
        <w:rPr/>
      </w:pPr>
      <w:r>
        <w:rPr/>
        <w:t>Ugunsdrošības pasākumus projektējamā objekta un tā inženiertehnisko sistēmu, tajā skaitā ugunsaizsardzības sistēmu, ekspluatācijas stadijā (pēc tās nodošanas ekspluatācijā) nosaka Ministru kabineta 2016. gada 19. aprīļa noteikumi Nr.238 „Ugunsdrošības noteikumi” (turpmāk tekstā - Ugunsdrošības noteikumi) un to izpildei piemērojamie standarti.</w:t>
      </w:r>
    </w:p>
    <w:p>
      <w:pPr>
        <w:pStyle w:val="Normal"/>
        <w:jc w:val="both"/>
        <w:rPr/>
      </w:pPr>
      <w:r>
        <w:rPr/>
      </w:r>
    </w:p>
    <w:p>
      <w:pPr>
        <w:pStyle w:val="Normal"/>
        <w:jc w:val="both"/>
        <w:rPr/>
      </w:pPr>
      <w:r>
        <w:rPr/>
      </w:r>
    </w:p>
    <w:p>
      <w:pPr>
        <w:pStyle w:val="Heading1"/>
        <w:tabs>
          <w:tab w:val="clear" w:pos="708"/>
          <w:tab w:val="left" w:pos="432" w:leader="none"/>
        </w:tabs>
        <w:suppressAutoHyphens w:val="true"/>
        <w:ind w:left="432" w:hanging="432"/>
        <w:jc w:val="left"/>
        <w:rPr>
          <w:b w:val="false"/>
          <w:b w:val="false"/>
        </w:rPr>
      </w:pPr>
      <w:bookmarkStart w:id="12" w:name="_Toc30363435"/>
      <w:bookmarkStart w:id="13" w:name="_Toc30363202"/>
      <w:r>
        <w:rPr/>
        <w:t>1.4. Termini un definīcijas. Apzīmējumi</w:t>
      </w:r>
      <w:bookmarkEnd w:id="12"/>
      <w:bookmarkEnd w:id="13"/>
    </w:p>
    <w:p>
      <w:pPr>
        <w:pStyle w:val="Normal"/>
        <w:jc w:val="both"/>
        <w:rPr/>
      </w:pPr>
      <w:r>
        <w:rPr/>
      </w:r>
    </w:p>
    <w:p>
      <w:pPr>
        <w:pStyle w:val="Normal"/>
        <w:ind w:firstLine="708"/>
        <w:jc w:val="both"/>
        <w:rPr/>
      </w:pPr>
      <w:r>
        <w:rPr/>
        <w:t>Pārskatā ir lietoti termini un definīcijas saskaņā ar Latvijas būvnormatīvu LBN 201-15 „Būvju ugunsdrošība”:</w:t>
      </w:r>
    </w:p>
    <w:p>
      <w:pPr>
        <w:pStyle w:val="ListParagraph"/>
        <w:numPr>
          <w:ilvl w:val="0"/>
          <w:numId w:val="5"/>
        </w:numPr>
        <w:spacing w:lineRule="auto" w:line="240"/>
        <w:jc w:val="both"/>
        <w:rPr>
          <w:lang w:eastAsia="lv-LV"/>
        </w:rPr>
      </w:pPr>
      <w:r>
        <w:rPr>
          <w:i/>
          <w:lang w:eastAsia="lv-LV"/>
        </w:rPr>
        <w:t xml:space="preserve">atklātas kāpnes </w:t>
      </w:r>
      <w:r>
        <w:rPr>
          <w:lang w:eastAsia="lv-LV"/>
        </w:rPr>
        <w:t>– būves iekšējas kāpnes, kas no būves būvapjoma nav atdalītas ar ugunsdrošām norobežojošām konstrukcijām;</w:t>
      </w:r>
    </w:p>
    <w:p>
      <w:pPr>
        <w:pStyle w:val="ListParagraph"/>
        <w:numPr>
          <w:ilvl w:val="0"/>
          <w:numId w:val="5"/>
        </w:numPr>
        <w:spacing w:lineRule="auto" w:line="240"/>
        <w:jc w:val="both"/>
        <w:rPr>
          <w:lang w:eastAsia="lv-LV"/>
        </w:rPr>
      </w:pPr>
      <w:r>
        <w:rPr>
          <w:i/>
          <w:lang w:eastAsia="lv-LV"/>
        </w:rPr>
        <w:t>automātiskā ugunsgrēka atklāšanas un trauksmes signalizācijas sistēma</w:t>
      </w:r>
      <w:r>
        <w:rPr>
          <w:lang w:eastAsia="lv-LV"/>
        </w:rPr>
        <w:t xml:space="preserve"> – stacionāra inženiertehniskā sistēma, kas automātiski atklāj ugunsgrēka izcelšanos un signālu par ugunsgrēku vai sistēmas bojājumiem pārraida uz kontroles un signalizācijas pulti, ugunsgrēka gadījumā iedarbina aizsargājamā būvē trauksmes signālu izziņošanas ierīces, kā arī izstrādā signālus citu inženiertehnisko sistēmu vadībai;</w:t>
      </w:r>
    </w:p>
    <w:p>
      <w:pPr>
        <w:pStyle w:val="ListParagraph"/>
        <w:numPr>
          <w:ilvl w:val="0"/>
          <w:numId w:val="5"/>
        </w:numPr>
        <w:spacing w:lineRule="auto" w:line="240"/>
        <w:jc w:val="both"/>
        <w:rPr>
          <w:lang w:eastAsia="lv-LV"/>
        </w:rPr>
      </w:pPr>
      <w:r>
        <w:rPr>
          <w:i/>
          <w:lang w:eastAsia="lv-LV"/>
        </w:rPr>
        <w:t xml:space="preserve">būves augstākā stāva grīdas līmenis </w:t>
      </w:r>
      <w:r>
        <w:rPr>
          <w:lang w:eastAsia="lv-LV"/>
        </w:rPr>
        <w:t>– līmeņu starpība starp brauktuves vai līdzvērtīgas virsmas līmeni, uz kuras var uzbraukt un nostāties ugunsdzēsības un glābšanas tehniskie līdzekļi, un būves augstākā stāva grīdas līmeni, kurā pastāvīgi uzturas būves lietotāji;</w:t>
      </w:r>
    </w:p>
    <w:p>
      <w:pPr>
        <w:pStyle w:val="ListParagraph"/>
        <w:numPr>
          <w:ilvl w:val="0"/>
          <w:numId w:val="5"/>
        </w:numPr>
        <w:spacing w:lineRule="auto" w:line="240"/>
        <w:jc w:val="both"/>
        <w:rPr>
          <w:lang w:eastAsia="lv-LV"/>
        </w:rPr>
      </w:pPr>
      <w:r>
        <w:rPr>
          <w:i/>
          <w:lang w:eastAsia="lv-LV"/>
        </w:rPr>
        <w:t>būves ugunsnoturības pakāpe</w:t>
      </w:r>
      <w:r>
        <w:rPr>
          <w:lang w:eastAsia="lv-LV"/>
        </w:rPr>
        <w:t xml:space="preserve"> – būves ugunsnoturības rādītājs, kas atkarīgs no būves lietošanas veida, būves augstākā stāva grīdas līmeņa atzīmes, noteiktās ugunsdrošības nodalījuma platības, telpu ugunsslodzes, būvkonstrukciju ugunsizturības un iebūvēto būvizstrādājumu ugunsreakcijas;</w:t>
      </w:r>
    </w:p>
    <w:p>
      <w:pPr>
        <w:pStyle w:val="ListParagraph"/>
        <w:numPr>
          <w:ilvl w:val="0"/>
          <w:numId w:val="5"/>
        </w:numPr>
        <w:spacing w:lineRule="auto" w:line="240"/>
        <w:jc w:val="both"/>
        <w:rPr>
          <w:lang w:eastAsia="lv-LV"/>
        </w:rPr>
      </w:pPr>
      <w:r>
        <w:rPr>
          <w:i/>
          <w:lang w:eastAsia="lv-LV"/>
        </w:rPr>
        <w:t>dūmu izvades ailas</w:t>
      </w:r>
      <w:r>
        <w:rPr>
          <w:lang w:eastAsia="lv-LV"/>
        </w:rPr>
        <w:t xml:space="preserve"> – veramas durvis, vārti, atverami logi, atveramās žalūzijas un lūkas, atklātas ailas ārējās norobežojošajās konstrukcijās, caur kurām ugunsgrēka gadījumā iespējams izvadīt dūmus;</w:t>
      </w:r>
    </w:p>
    <w:p>
      <w:pPr>
        <w:pStyle w:val="ListParagraph"/>
        <w:numPr>
          <w:ilvl w:val="0"/>
          <w:numId w:val="5"/>
        </w:numPr>
        <w:spacing w:lineRule="auto" w:line="240"/>
        <w:jc w:val="both"/>
        <w:rPr>
          <w:lang w:eastAsia="lv-LV"/>
        </w:rPr>
      </w:pPr>
      <w:r>
        <w:rPr>
          <w:i/>
          <w:lang w:eastAsia="lv-LV"/>
        </w:rPr>
        <w:t>evakuācija</w:t>
      </w:r>
      <w:r>
        <w:rPr>
          <w:lang w:eastAsia="lv-LV"/>
        </w:rPr>
        <w:t xml:space="preserve"> – organizēta cilvēku pārvietošanās uz drošu vietu ārpus būves zemes virsmas līmenī vai ugunsdrošības nodalījumu ugunsgrēka vai citu briesmu gadījumā;</w:t>
      </w:r>
    </w:p>
    <w:p>
      <w:pPr>
        <w:pStyle w:val="ListParagraph"/>
        <w:numPr>
          <w:ilvl w:val="0"/>
          <w:numId w:val="5"/>
        </w:numPr>
        <w:spacing w:lineRule="auto" w:line="240"/>
        <w:jc w:val="both"/>
        <w:rPr>
          <w:lang w:eastAsia="lv-LV"/>
        </w:rPr>
      </w:pPr>
      <w:r>
        <w:rPr>
          <w:i/>
        </w:rPr>
        <w:t>evakuācijas ceļa garums</w:t>
      </w:r>
      <w:r>
        <w:rPr/>
        <w:t xml:space="preserve"> – attālums no būves daļas vai ugunsdrošības nodalījuma vistālākās vietas pa visīsāko iespējamo evakuācijas ceļu līdz tuvākajai evakuācijas izejai. Evakuācijas ceļa garums netiek normēts aizsargātā evakuācijas ceļā, ārējās evakuācijas kāpnēs, ugunsaizsargātā kāpņu telpā un dūmaizsargātā kāpņu telpā, kā arī ugunsdrošības priekštelpā;</w:t>
      </w:r>
    </w:p>
    <w:p>
      <w:pPr>
        <w:pStyle w:val="ListParagraph"/>
        <w:numPr>
          <w:ilvl w:val="0"/>
          <w:numId w:val="5"/>
        </w:numPr>
        <w:spacing w:lineRule="auto" w:line="240"/>
        <w:jc w:val="both"/>
        <w:rPr>
          <w:lang w:eastAsia="lv-LV"/>
        </w:rPr>
      </w:pPr>
      <w:r>
        <w:rPr>
          <w:i/>
          <w:lang w:eastAsia="lv-LV"/>
        </w:rPr>
        <w:t>evakuācijas ceļš</w:t>
      </w:r>
      <w:r>
        <w:rPr>
          <w:lang w:eastAsia="lv-LV"/>
        </w:rPr>
        <w:t xml:space="preserve"> – drošs un viegli atrodams kustības ceļš, kas sākas jebkurā būves punktā, kurā pastāvīgi var uzturēties būves lietotāji, un ved uz evakuācijas izeju;</w:t>
      </w:r>
    </w:p>
    <w:p>
      <w:pPr>
        <w:pStyle w:val="ListParagraph"/>
        <w:numPr>
          <w:ilvl w:val="0"/>
          <w:numId w:val="5"/>
        </w:numPr>
        <w:spacing w:lineRule="auto" w:line="240"/>
        <w:jc w:val="both"/>
        <w:rPr>
          <w:lang w:eastAsia="lv-LV"/>
        </w:rPr>
      </w:pPr>
      <w:r>
        <w:rPr>
          <w:i/>
          <w:lang w:eastAsia="lv-LV"/>
        </w:rPr>
        <w:t>evakuācijas izeja</w:t>
      </w:r>
      <w:r>
        <w:rPr>
          <w:lang w:eastAsia="lv-LV"/>
        </w:rPr>
        <w:t xml:space="preserve"> – izeja no būves vai ugunsdrošības nodalījuma daļām, pa kuru var nokļūt ārpus būves zemes virsmas līmenī;</w:t>
      </w:r>
    </w:p>
    <w:p>
      <w:pPr>
        <w:pStyle w:val="ListParagraph"/>
        <w:numPr>
          <w:ilvl w:val="0"/>
          <w:numId w:val="5"/>
        </w:numPr>
        <w:spacing w:lineRule="auto" w:line="240"/>
        <w:jc w:val="both"/>
        <w:rPr>
          <w:lang w:eastAsia="lv-LV"/>
        </w:rPr>
      </w:pPr>
      <w:r>
        <w:rPr>
          <w:i/>
          <w:lang w:eastAsia="lv-LV"/>
        </w:rPr>
        <w:t>jumta seguma sistēma</w:t>
      </w:r>
      <w:r>
        <w:rPr>
          <w:lang w:eastAsia="lv-LV"/>
        </w:rPr>
        <w:t xml:space="preserve"> – jumta virsmas un izolācijas konstrukcija, kura ietver visus slāņus, kas veido atmosfērizturīgu jumta konstrukciju, izņemot nesošo konstrukciju – siltuma izolāciju, tvaika izolāciju, mehāniski stiprināmu vai līmējamu jumta segumu (hidroizolāciju), kā arī papildelementus – jumta logus;</w:t>
      </w:r>
    </w:p>
    <w:p>
      <w:pPr>
        <w:pStyle w:val="ListParagraph"/>
        <w:numPr>
          <w:ilvl w:val="0"/>
          <w:numId w:val="5"/>
        </w:numPr>
        <w:spacing w:lineRule="auto" w:line="240"/>
        <w:jc w:val="both"/>
        <w:rPr>
          <w:lang w:eastAsia="lv-LV"/>
        </w:rPr>
      </w:pPr>
      <w:r>
        <w:rPr>
          <w:i/>
          <w:lang w:eastAsia="lv-LV"/>
        </w:rPr>
        <w:t>jumta segums</w:t>
      </w:r>
      <w:r>
        <w:rPr>
          <w:lang w:eastAsia="lv-LV"/>
        </w:rPr>
        <w:t xml:space="preserve"> – jumta augšējais hidroizolējošais slānis, kas pasargā būvi no atmosfēras ārējās iedarbības;</w:t>
      </w:r>
    </w:p>
    <w:p>
      <w:pPr>
        <w:pStyle w:val="ListParagraph"/>
        <w:numPr>
          <w:ilvl w:val="0"/>
          <w:numId w:val="5"/>
        </w:numPr>
        <w:spacing w:lineRule="auto" w:line="240"/>
        <w:jc w:val="both"/>
        <w:rPr>
          <w:i/>
          <w:i/>
          <w:lang w:eastAsia="lv-LV"/>
        </w:rPr>
      </w:pPr>
      <w:r>
        <w:rPr>
          <w:i/>
          <w:lang w:eastAsia="lv-LV"/>
        </w:rPr>
        <w:t xml:space="preserve">ugunsdroša būvkonstrukcija </w:t>
      </w:r>
      <w:r>
        <w:rPr>
          <w:lang w:eastAsia="lv-LV"/>
        </w:rPr>
        <w:t>– būvkonstrukcija ar normētu ugunsizturību un būvizstrādājumu ugunsreakcijas klasi, kas paredzēta ugunsgrēka bīstamo faktoru ierobežošanai</w:t>
      </w:r>
      <w:r>
        <w:rPr>
          <w:i/>
          <w:lang w:eastAsia="lv-LV"/>
        </w:rPr>
        <w:t>;</w:t>
      </w:r>
    </w:p>
    <w:p>
      <w:pPr>
        <w:pStyle w:val="ListParagraph"/>
        <w:numPr>
          <w:ilvl w:val="0"/>
          <w:numId w:val="5"/>
        </w:numPr>
        <w:spacing w:lineRule="auto" w:line="240"/>
        <w:jc w:val="both"/>
        <w:rPr>
          <w:lang w:eastAsia="lv-LV"/>
        </w:rPr>
      </w:pPr>
      <w:r>
        <w:rPr>
          <w:i/>
          <w:lang w:eastAsia="lv-LV"/>
        </w:rPr>
        <w:t>ugunsdroši atdalīta telpa</w:t>
      </w:r>
      <w:r>
        <w:rPr>
          <w:lang w:eastAsia="lv-LV"/>
        </w:rPr>
        <w:t xml:space="preserve"> – telpa, kas no citām telpām atdalīta ar ugunsdrošām būvkonstrukcijām;</w:t>
      </w:r>
    </w:p>
    <w:p>
      <w:pPr>
        <w:pStyle w:val="ListParagraph"/>
        <w:numPr>
          <w:ilvl w:val="0"/>
          <w:numId w:val="5"/>
        </w:numPr>
        <w:spacing w:lineRule="auto" w:line="240"/>
        <w:jc w:val="both"/>
        <w:rPr>
          <w:lang w:eastAsia="lv-LV"/>
        </w:rPr>
      </w:pPr>
      <w:r>
        <w:rPr>
          <w:i/>
          <w:lang w:eastAsia="lv-LV"/>
        </w:rPr>
        <w:t>ugunsdrošības nodalījuma platība</w:t>
      </w:r>
      <w:r>
        <w:rPr>
          <w:lang w:eastAsia="lv-LV"/>
        </w:rPr>
        <w:t xml:space="preserve"> – ugunsdrošības nodalījuma stāva platība starp ārējām sienām vai ārējām un ugunsdrošības nodalījuma norobežojošām konstrukcijām;</w:t>
      </w:r>
    </w:p>
    <w:p>
      <w:pPr>
        <w:pStyle w:val="ListParagraph"/>
        <w:numPr>
          <w:ilvl w:val="0"/>
          <w:numId w:val="5"/>
        </w:numPr>
        <w:spacing w:lineRule="auto" w:line="240"/>
        <w:jc w:val="both"/>
        <w:rPr>
          <w:lang w:eastAsia="lv-LV"/>
        </w:rPr>
      </w:pPr>
      <w:r>
        <w:rPr>
          <w:i/>
          <w:lang w:eastAsia="lv-LV"/>
        </w:rPr>
        <w:t>ugunsdrošības nodalījums</w:t>
      </w:r>
      <w:r>
        <w:rPr>
          <w:lang w:eastAsia="lv-LV"/>
        </w:rPr>
        <w:t xml:space="preserve"> – būves daļa, kas atdalīta no pārējām būves daļām ar ugunsdrošām konstrukcijām tā, lai uguns un dūmu izplatība uz šo būves daļu un no tās noteiktā laikposmā tiktu aizkavēta un saglabāta nestspēja;</w:t>
      </w:r>
    </w:p>
    <w:p>
      <w:pPr>
        <w:pStyle w:val="ListParagraph"/>
        <w:numPr>
          <w:ilvl w:val="0"/>
          <w:numId w:val="5"/>
        </w:numPr>
        <w:spacing w:lineRule="auto" w:line="240"/>
        <w:jc w:val="both"/>
        <w:rPr>
          <w:lang w:eastAsia="lv-LV"/>
        </w:rPr>
      </w:pPr>
      <w:r>
        <w:rPr>
          <w:i/>
          <w:szCs w:val="24"/>
          <w:lang w:eastAsia="lv-LV"/>
        </w:rPr>
        <w:t>ugunsizturība</w:t>
      </w:r>
      <w:r>
        <w:rPr>
          <w:szCs w:val="24"/>
          <w:lang w:eastAsia="lv-LV"/>
        </w:rPr>
        <w:t xml:space="preserve"> – būves konstrukciju vai elementu spēja noteiktā laikposmā saglabāt nestspēju,</w:t>
      </w:r>
      <w:r>
        <w:rPr>
          <w:lang w:eastAsia="lv-LV"/>
        </w:rPr>
        <w:t xml:space="preserve"> termoizolētību un viengabalainību;</w:t>
      </w:r>
    </w:p>
    <w:p>
      <w:pPr>
        <w:pStyle w:val="ListParagraph"/>
        <w:numPr>
          <w:ilvl w:val="0"/>
          <w:numId w:val="5"/>
        </w:numPr>
        <w:spacing w:lineRule="auto" w:line="240"/>
        <w:jc w:val="both"/>
        <w:rPr>
          <w:lang w:eastAsia="lv-LV"/>
        </w:rPr>
      </w:pPr>
      <w:r>
        <w:rPr>
          <w:i/>
          <w:lang w:eastAsia="lv-LV"/>
        </w:rPr>
        <w:t>ugunsreakcija</w:t>
      </w:r>
      <w:r>
        <w:rPr>
          <w:lang w:eastAsia="lv-LV"/>
        </w:rPr>
        <w:t xml:space="preserve"> – būvizstrādājuma reakcija, to noteiktos apstākļos pakļaujot uguns iedarbībai, kas raksturo tā spēju ar savu noārdīšanos veicināt uguns izplatību;</w:t>
      </w:r>
    </w:p>
    <w:p>
      <w:pPr>
        <w:pStyle w:val="ListParagraph"/>
        <w:numPr>
          <w:ilvl w:val="0"/>
          <w:numId w:val="5"/>
        </w:numPr>
        <w:spacing w:lineRule="auto" w:line="240"/>
        <w:jc w:val="both"/>
        <w:rPr>
          <w:lang w:eastAsia="lv-LV"/>
        </w:rPr>
      </w:pPr>
      <w:r>
        <w:rPr>
          <w:i/>
          <w:lang w:eastAsia="lv-LV"/>
        </w:rPr>
        <w:t>ugunsslodze</w:t>
      </w:r>
      <w:r>
        <w:rPr>
          <w:lang w:eastAsia="lv-LV"/>
        </w:rPr>
        <w:t xml:space="preserve"> – degšanas procesa laikā izdalāmās siltuma enerģijas daudzums (MJ) no telpas būvkonstrukcijām (pastāvīga ugunsslodze) un telpā esošajām degtspējīgām vielām, materiāliem un iekārtam (mainīgā ugunsslodze) uz telpas grīdas laukuma vienību (m</w:t>
      </w:r>
      <w:r>
        <w:rPr>
          <w:vertAlign w:val="superscript"/>
          <w:lang w:eastAsia="lv-LV"/>
        </w:rPr>
        <w:t>2</w:t>
      </w:r>
      <w:r>
        <w:rPr>
          <w:lang w:eastAsia="lv-LV"/>
        </w:rPr>
        <w:t>);</w:t>
      </w:r>
    </w:p>
    <w:p>
      <w:pPr>
        <w:pStyle w:val="ListParagraph"/>
        <w:numPr>
          <w:ilvl w:val="0"/>
          <w:numId w:val="5"/>
        </w:numPr>
        <w:spacing w:lineRule="auto" w:line="240"/>
        <w:jc w:val="both"/>
        <w:rPr>
          <w:lang w:eastAsia="lv-LV"/>
        </w:rPr>
      </w:pPr>
      <w:r>
        <w:rPr>
          <w:i/>
          <w:lang w:eastAsia="lv-LV"/>
        </w:rPr>
        <w:t>zibensaizsardzības sistēma</w:t>
      </w:r>
      <w:r>
        <w:rPr>
          <w:lang w:eastAsia="lv-LV"/>
        </w:rPr>
        <w:t xml:space="preserve"> – vienota sistēma, kas paredzēta būvju, to atsevišķo daļu, elektroietaišu un citu objektu aizsardzībai pret zibensizlādes tiešo un netiešo iedarbi;</w:t>
      </w:r>
    </w:p>
    <w:p>
      <w:pPr>
        <w:pStyle w:val="ListParagraph"/>
        <w:numPr>
          <w:ilvl w:val="0"/>
          <w:numId w:val="5"/>
        </w:numPr>
        <w:spacing w:lineRule="auto" w:line="240"/>
        <w:jc w:val="both"/>
        <w:rPr>
          <w:lang w:eastAsia="lv-LV"/>
        </w:rPr>
      </w:pPr>
      <w:r>
        <w:rPr>
          <w:rFonts w:eastAsia="ArialMT"/>
          <w:i/>
          <w:lang w:eastAsia="lv-LV"/>
        </w:rPr>
        <w:t>telpa, kurā pastāvīgi var uzturēties cilvēki</w:t>
      </w:r>
      <w:r>
        <w:rPr>
          <w:rFonts w:eastAsia="ArialMT"/>
          <w:lang w:eastAsia="lv-LV"/>
        </w:rPr>
        <w:t xml:space="preserve"> – visu lietošanas veidu telpas, izņemot bēniņus, tehniskās telpas, kas paredzētas tehnoloģisko iekārtu, inženieriekārtu un inženiertīklu izvietošanai, sanitārtehniskās telpas, kā arī citas telpas, kurās atbilstoši būvniecības dokumentācijā paredzētajiem risinājumiem cilvēki nepārtraukti uzturas mazāk par divām stundām vai kopumā uzturas mazāk par sešām stundām diennaktī.</w:t>
      </w:r>
    </w:p>
    <w:p>
      <w:pPr>
        <w:pStyle w:val="Normal"/>
        <w:jc w:val="both"/>
        <w:rPr/>
      </w:pPr>
      <w:r>
        <w:rPr/>
      </w:r>
    </w:p>
    <w:p>
      <w:pPr>
        <w:pStyle w:val="Normal"/>
        <w:jc w:val="both"/>
        <w:rPr/>
      </w:pPr>
      <w:r>
        <w:rPr/>
        <w:t>Pārskatā lietoti šādi termini saskaņā ar LBN 208-15:</w:t>
      </w:r>
    </w:p>
    <w:p>
      <w:pPr>
        <w:pStyle w:val="Normal"/>
        <w:numPr>
          <w:ilvl w:val="0"/>
          <w:numId w:val="4"/>
        </w:numPr>
        <w:jc w:val="both"/>
        <w:rPr>
          <w:color w:val="000000"/>
          <w:lang w:eastAsia="lv-LV"/>
        </w:rPr>
      </w:pPr>
      <w:r>
        <w:rPr>
          <w:i/>
          <w:color w:val="000000"/>
          <w:lang w:eastAsia="lv-LV"/>
        </w:rPr>
        <w:t>darba telpa</w:t>
      </w:r>
      <w:r>
        <w:rPr>
          <w:color w:val="000000"/>
          <w:lang w:eastAsia="lv-LV"/>
        </w:rPr>
        <w:t xml:space="preserve"> – nedzīvojamā telpa, kurā notiek darba process un kurā nav paredzēta apmeklētāju uzturēšanās;</w:t>
      </w:r>
    </w:p>
    <w:p>
      <w:pPr>
        <w:pStyle w:val="Normal"/>
        <w:numPr>
          <w:ilvl w:val="0"/>
          <w:numId w:val="4"/>
        </w:numPr>
        <w:jc w:val="both"/>
        <w:rPr>
          <w:lang w:eastAsia="lv-LV"/>
        </w:rPr>
      </w:pPr>
      <w:r>
        <w:rPr>
          <w:i/>
          <w:lang w:eastAsia="lv-LV"/>
        </w:rPr>
        <w:t>publiska telpa</w:t>
      </w:r>
      <w:r>
        <w:rPr>
          <w:lang w:eastAsia="lv-LV"/>
        </w:rPr>
        <w:t xml:space="preserve"> - sabiedrībai pieejama nedzīvojamā telpa, kurā īslaicīgi var uzturēties un saņemt dažādus pakalpojumus apmeklētāji (piemēram, skatītāji, pacienti, klienti, pircēji, pasažieri, studenti, audzēkņi).</w:t>
      </w:r>
    </w:p>
    <w:p>
      <w:pPr>
        <w:pStyle w:val="Normal"/>
        <w:ind w:firstLine="360"/>
        <w:jc w:val="both"/>
        <w:rPr/>
      </w:pPr>
      <w:r>
        <w:rPr/>
      </w:r>
    </w:p>
    <w:p>
      <w:pPr>
        <w:pStyle w:val="Normal"/>
        <w:ind w:firstLine="360"/>
        <w:jc w:val="both"/>
        <w:rPr/>
      </w:pPr>
      <w:r>
        <w:rPr/>
        <w:t>Būvju konstrukciju ugunsizturību nosaka atbilstoši būvkonstrukciju nestspējas (</w:t>
      </w:r>
      <w:r>
        <w:rPr>
          <w:b/>
        </w:rPr>
        <w:t>simbols R</w:t>
      </w:r>
      <w:r>
        <w:rPr/>
        <w:t>), viengabalainības (</w:t>
      </w:r>
      <w:r>
        <w:rPr>
          <w:b/>
        </w:rPr>
        <w:t>simbols E</w:t>
      </w:r>
      <w:r>
        <w:rPr/>
        <w:t>) un termoizolētības (</w:t>
      </w:r>
      <w:r>
        <w:rPr>
          <w:b/>
        </w:rPr>
        <w:t>simbols I</w:t>
      </w:r>
      <w:r>
        <w:rPr/>
        <w:t>) īpašību noturībai ugunsgrēka laikā. Būvkonstrukciju ugunsizturību nosaka testējot, aprēķinot, vai arī apvienojot testēšanu ar aprēķiniem.</w:t>
      </w:r>
      <w:r>
        <w:br w:type="page"/>
      </w:r>
    </w:p>
    <w:p>
      <w:pPr>
        <w:pStyle w:val="Heading1"/>
        <w:jc w:val="left"/>
        <w:rPr>
          <w:b w:val="false"/>
          <w:b w:val="false"/>
        </w:rPr>
      </w:pPr>
      <w:bookmarkStart w:id="14" w:name="_Toc30363436"/>
      <w:bookmarkStart w:id="15" w:name="_Toc30363203"/>
      <w:r>
        <w:rPr/>
        <w:t>2. Objekta ugunsdrošības raksturlielumi</w:t>
      </w:r>
      <w:bookmarkEnd w:id="14"/>
      <w:bookmarkEnd w:id="15"/>
    </w:p>
    <w:p>
      <w:pPr>
        <w:pStyle w:val="Normal"/>
        <w:jc w:val="both"/>
        <w:rPr/>
      </w:pPr>
      <w:r>
        <w:rPr/>
      </w:r>
    </w:p>
    <w:p>
      <w:pPr>
        <w:pStyle w:val="Heading1"/>
        <w:jc w:val="left"/>
        <w:rPr>
          <w:b w:val="false"/>
          <w:b w:val="false"/>
        </w:rPr>
      </w:pPr>
      <w:bookmarkStart w:id="16" w:name="_Toc30363437"/>
      <w:bookmarkStart w:id="17" w:name="_Toc30363204"/>
      <w:r>
        <w:rPr/>
        <w:t>2.1. Objekta raksturojums un tehniskie rādītāji</w:t>
      </w:r>
      <w:bookmarkEnd w:id="16"/>
      <w:bookmarkEnd w:id="17"/>
    </w:p>
    <w:p>
      <w:pPr>
        <w:pStyle w:val="Normal"/>
        <w:rPr/>
      </w:pPr>
      <w:r>
        <w:rPr/>
      </w:r>
    </w:p>
    <w:p>
      <w:pPr>
        <w:pStyle w:val="Heading1"/>
        <w:jc w:val="left"/>
        <w:rPr>
          <w:b w:val="false"/>
          <w:b w:val="false"/>
          <w:iCs/>
        </w:rPr>
      </w:pPr>
      <w:bookmarkStart w:id="18" w:name="_Toc30363438"/>
      <w:bookmarkStart w:id="19" w:name="_Toc30363205"/>
      <w:r>
        <w:rPr>
          <w:iCs/>
        </w:rPr>
        <w:t>2.1.1. Esošā situācija. Esošās būves raksturojums</w:t>
      </w:r>
      <w:bookmarkEnd w:id="18"/>
      <w:bookmarkEnd w:id="19"/>
    </w:p>
    <w:p>
      <w:pPr>
        <w:pStyle w:val="Normal"/>
        <w:rPr/>
      </w:pPr>
      <w:r>
        <w:rPr/>
      </w:r>
    </w:p>
    <w:p>
      <w:pPr>
        <w:pStyle w:val="Normal"/>
        <w:ind w:firstLine="708"/>
        <w:jc w:val="both"/>
        <w:rPr/>
      </w:pPr>
      <w:r>
        <w:rPr>
          <w:iCs/>
        </w:rPr>
        <w:t xml:space="preserve">Būves </w:t>
      </w:r>
      <w:r>
        <w:rPr/>
        <w:t xml:space="preserve">Tehniskā apsekošana veikta 04.04.2019. un atzinums izsniegts 19.12.2019., apsekošanu veica būvinženieris </w:t>
      </w:r>
      <w:r>
        <w:rPr>
          <w:iCs/>
        </w:rPr>
        <w:t xml:space="preserve">Mārtiņš Dadzītis,  </w:t>
      </w:r>
      <w:r>
        <w:rPr/>
        <w:t>būvprakses</w:t>
      </w:r>
      <w:r>
        <w:rPr>
          <w:iCs/>
          <w:spacing w:val="-2"/>
        </w:rPr>
        <w:t xml:space="preserve"> sert.Nr.</w:t>
      </w:r>
      <w:r>
        <w:rPr/>
        <w:t>3-01523. Saskaņā ar b</w:t>
      </w:r>
      <w:r>
        <w:rPr>
          <w:iCs/>
        </w:rPr>
        <w:t xml:space="preserve">ūves tehniskās inventarizācijas lietu un būves </w:t>
      </w:r>
      <w:r>
        <w:rPr/>
        <w:t>Tehniskās apsekošanas atzinumu, esošajai būves ēkai ir šādi rādītāji:</w:t>
      </w:r>
    </w:p>
    <w:p>
      <w:pPr>
        <w:pStyle w:val="Normal"/>
        <w:jc w:val="both"/>
        <w:rPr/>
      </w:pPr>
      <w:r>
        <w:rPr/>
      </w:r>
    </w:p>
    <w:tbl>
      <w:tblPr>
        <w:tblW w:w="8676" w:type="dxa"/>
        <w:jc w:val="left"/>
        <w:tblInd w:w="108" w:type="dxa"/>
        <w:tblCellMar>
          <w:top w:w="0" w:type="dxa"/>
          <w:left w:w="108" w:type="dxa"/>
          <w:bottom w:w="0" w:type="dxa"/>
          <w:right w:w="108" w:type="dxa"/>
        </w:tblCellMar>
        <w:tblLook w:firstRow="1" w:noVBand="0" w:lastRow="1" w:firstColumn="1" w:lastColumn="1" w:noHBand="0" w:val="01e0"/>
      </w:tblPr>
      <w:tblGrid>
        <w:gridCol w:w="737"/>
        <w:gridCol w:w="3968"/>
        <w:gridCol w:w="3971"/>
      </w:tblGrid>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ListParagraph"/>
              <w:numPr>
                <w:ilvl w:val="0"/>
                <w:numId w:val="7"/>
              </w:numPr>
              <w:spacing w:lineRule="auto" w:line="240"/>
              <w:ind w:left="360" w:hanging="360"/>
              <w:jc w:val="center"/>
              <w:rPr/>
            </w:pPr>
            <w:r>
              <w:rPr/>
            </w:r>
          </w:p>
        </w:tc>
        <w:tc>
          <w:tcPr>
            <w:tcW w:w="396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Būves veids</w:t>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Normal"/>
              <w:rPr>
                <w:highlight w:val="red"/>
              </w:rPr>
            </w:pPr>
            <w:r>
              <w:rPr/>
              <w:t>Izklaides pasākumu ēka (1261)</w:t>
            </w:r>
          </w:p>
        </w:tc>
      </w:tr>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ListParagraph"/>
              <w:numPr>
                <w:ilvl w:val="0"/>
                <w:numId w:val="7"/>
              </w:numPr>
              <w:spacing w:lineRule="auto" w:line="240"/>
              <w:ind w:left="360" w:hanging="360"/>
              <w:jc w:val="center"/>
              <w:rPr/>
            </w:pPr>
            <w:r>
              <w:rPr/>
            </w:r>
          </w:p>
        </w:tc>
        <w:tc>
          <w:tcPr>
            <w:tcW w:w="396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Apbūves laukums (m²)</w:t>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1143.6 m²</w:t>
            </w:r>
          </w:p>
        </w:tc>
      </w:tr>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ListParagraph"/>
              <w:numPr>
                <w:ilvl w:val="0"/>
                <w:numId w:val="7"/>
              </w:numPr>
              <w:spacing w:lineRule="auto" w:line="240"/>
              <w:ind w:left="360" w:hanging="360"/>
              <w:jc w:val="center"/>
              <w:rPr/>
            </w:pPr>
            <w:r>
              <w:rPr/>
            </w:r>
          </w:p>
        </w:tc>
        <w:tc>
          <w:tcPr>
            <w:tcW w:w="396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Būvtilpums (m³)</w:t>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10868 m³</w:t>
            </w:r>
          </w:p>
        </w:tc>
      </w:tr>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ListParagraph"/>
              <w:numPr>
                <w:ilvl w:val="0"/>
                <w:numId w:val="7"/>
              </w:numPr>
              <w:spacing w:lineRule="auto" w:line="240"/>
              <w:ind w:left="360" w:hanging="360"/>
              <w:jc w:val="center"/>
              <w:rPr/>
            </w:pPr>
            <w:r>
              <w:rPr/>
            </w:r>
          </w:p>
        </w:tc>
        <w:tc>
          <w:tcPr>
            <w:tcW w:w="396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Kopējā platība (m²)</w:t>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Normal"/>
              <w:rPr>
                <w:vertAlign w:val="superscript"/>
              </w:rPr>
            </w:pPr>
            <w:r>
              <w:rPr/>
              <w:t>1704.3 m²</w:t>
            </w:r>
          </w:p>
        </w:tc>
      </w:tr>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ListParagraph"/>
              <w:numPr>
                <w:ilvl w:val="0"/>
                <w:numId w:val="7"/>
              </w:numPr>
              <w:spacing w:lineRule="auto" w:line="240"/>
              <w:ind w:left="360" w:hanging="360"/>
              <w:jc w:val="center"/>
              <w:rPr/>
            </w:pPr>
            <w:r>
              <w:rPr/>
            </w:r>
          </w:p>
        </w:tc>
        <w:tc>
          <w:tcPr>
            <w:tcW w:w="396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Stāvu skaits</w:t>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2 virszemes stāvi, 1 pazemes stāvs</w:t>
            </w:r>
          </w:p>
        </w:tc>
      </w:tr>
      <w:tr>
        <w:trPr/>
        <w:tc>
          <w:tcPr>
            <w:tcW w:w="737" w:type="dxa"/>
            <w:tcBorders>
              <w:top w:val="single" w:sz="4" w:space="0" w:color="000000"/>
              <w:left w:val="single" w:sz="4" w:space="0" w:color="000000"/>
              <w:bottom w:val="single" w:sz="4" w:space="0" w:color="000000"/>
              <w:right w:val="single" w:sz="4" w:space="0" w:color="000000"/>
            </w:tcBorders>
            <w:shd w:fill="auto" w:val="clear"/>
          </w:tcPr>
          <w:p>
            <w:pPr>
              <w:pStyle w:val="ListParagraph"/>
              <w:numPr>
                <w:ilvl w:val="0"/>
                <w:numId w:val="7"/>
              </w:numPr>
              <w:spacing w:lineRule="auto" w:line="240"/>
              <w:ind w:left="360" w:hanging="360"/>
              <w:jc w:val="center"/>
              <w:rPr/>
            </w:pPr>
            <w:r>
              <w:rPr/>
            </w:r>
          </w:p>
        </w:tc>
        <w:tc>
          <w:tcPr>
            <w:tcW w:w="3968"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Būves nodošanas ekspluatācijā (gads)</w:t>
            </w:r>
          </w:p>
        </w:tc>
        <w:tc>
          <w:tcPr>
            <w:tcW w:w="3971" w:type="dxa"/>
            <w:tcBorders>
              <w:top w:val="single" w:sz="4" w:space="0" w:color="000000"/>
              <w:left w:val="single" w:sz="4" w:space="0" w:color="000000"/>
              <w:bottom w:val="single" w:sz="4" w:space="0" w:color="000000"/>
              <w:right w:val="single" w:sz="4" w:space="0" w:color="000000"/>
            </w:tcBorders>
            <w:shd w:fill="auto" w:val="clear"/>
          </w:tcPr>
          <w:p>
            <w:pPr>
              <w:pStyle w:val="Normal"/>
              <w:rPr/>
            </w:pPr>
            <w:r>
              <w:rPr/>
              <w:t>1954</w:t>
            </w:r>
          </w:p>
        </w:tc>
      </w:tr>
    </w:tbl>
    <w:p>
      <w:pPr>
        <w:pStyle w:val="Normal"/>
        <w:jc w:val="both"/>
        <w:rPr/>
      </w:pPr>
      <w:r>
        <w:rPr/>
      </w:r>
    </w:p>
    <w:p>
      <w:pPr>
        <w:pStyle w:val="Normal"/>
        <w:jc w:val="both"/>
        <w:rPr>
          <w:color w:val="000000"/>
          <w:lang w:eastAsia="lv-LV"/>
        </w:rPr>
      </w:pPr>
      <w:r>
        <w:rPr/>
        <w:t>Šobrīd būve notiek pārbūves darbi (nobeiguma stadijā – nodošana ekspluatācijā) atbilstoši SIA “VEK” 2017.gadā izstrādātajam un akceptētajam būvprojektam “Balvu Kultūras un atpūtas centra pārbūve par zema enerģijas patēriņa ēku Brīvības iela 61, Balvi” (turpmāk tekstā - SIA “VEK” Balvu KAC pārbūves būvprojekts). Minētajā būvprojektā paredzēta ēkai nepieciešamo ugunsdrošības pasākumu realizācija, tajā skaita ugunsdrošības inženiertehnisko sistēmu izbūve atbilstoši būvprojekta (būvprojekta vadītājs Andris Rūtenbergs) un Ugunsdrošības pasākumu pārskata risinājumiem (UPP daļas vadītājs Jurijs Čerņikovs). Atbilstoši SIA “VEK” Balvu KAC pārbūves būvprojekta risinājumiem, Balvu KAC ēka ir IV lietošanas veida būve, ē</w:t>
      </w:r>
      <w:r>
        <w:rPr>
          <w:color w:val="000000"/>
          <w:lang w:eastAsia="lv-LV"/>
        </w:rPr>
        <w:t>kas ugunsnoturības pakāpe – U2b.</w:t>
      </w:r>
    </w:p>
    <w:p>
      <w:pPr>
        <w:pStyle w:val="Normal"/>
        <w:jc w:val="both"/>
        <w:rPr/>
      </w:pPr>
      <w:r>
        <w:rPr/>
      </w:r>
    </w:p>
    <w:p>
      <w:pPr>
        <w:pStyle w:val="Normal"/>
        <w:jc w:val="both"/>
        <w:rPr/>
      </w:pPr>
      <w:r>
        <w:rPr/>
      </w:r>
    </w:p>
    <w:p>
      <w:pPr>
        <w:pStyle w:val="Heading1"/>
        <w:jc w:val="left"/>
        <w:rPr>
          <w:b w:val="false"/>
          <w:b w:val="false"/>
          <w:iCs/>
        </w:rPr>
      </w:pPr>
      <w:bookmarkStart w:id="20" w:name="_Toc30363439"/>
      <w:bookmarkStart w:id="21" w:name="_Toc30363206"/>
      <w:r>
        <w:rPr>
          <w:iCs/>
        </w:rPr>
        <w:t>2.1.2. Balvu KAC skatuves tehnoloģiju izbūves būvprojekta risinājumi</w:t>
      </w:r>
      <w:bookmarkEnd w:id="20"/>
      <w:bookmarkEnd w:id="21"/>
    </w:p>
    <w:p>
      <w:pPr>
        <w:pStyle w:val="Normal"/>
        <w:rPr/>
      </w:pPr>
      <w:r>
        <w:rPr/>
      </w:r>
    </w:p>
    <w:p>
      <w:pPr>
        <w:pStyle w:val="Normal"/>
        <w:ind w:firstLine="708"/>
        <w:jc w:val="both"/>
        <w:rPr/>
      </w:pPr>
      <w:r>
        <w:rPr/>
        <w:t xml:space="preserve">Atbilstoši konkursa ar </w:t>
      </w:r>
      <w:r>
        <w:rPr>
          <w:sz w:val="23"/>
          <w:szCs w:val="23"/>
        </w:rPr>
        <w:t xml:space="preserve">ID Nr. BNP TI 2019/23 </w:t>
      </w:r>
      <w:r>
        <w:rPr/>
        <w:t>tehniskās specifikācijas - projektēšanas uzdevuma nosacījumiem un būvprojekta “Balvu Kultūras un Atpūtas centra skatuve tehnoloģiju izbūve” risinājumiem paredzēti šadi darbi:</w:t>
      </w:r>
    </w:p>
    <w:p>
      <w:pPr>
        <w:pStyle w:val="Normal"/>
        <w:jc w:val="both"/>
        <w:rPr>
          <w:u w:val="single"/>
        </w:rPr>
      </w:pPr>
      <w:r>
        <w:rPr>
          <w:u w:val="single"/>
        </w:rPr>
      </w:r>
    </w:p>
    <w:p>
      <w:pPr>
        <w:pStyle w:val="Normal"/>
        <w:jc w:val="both"/>
        <w:rPr/>
      </w:pPr>
      <w:r>
        <w:rPr>
          <w:u w:val="single"/>
        </w:rPr>
        <w:t>Skatuves mehānismi</w:t>
      </w:r>
    </w:p>
    <w:p>
      <w:pPr>
        <w:pStyle w:val="Normal"/>
        <w:ind w:firstLine="720"/>
        <w:jc w:val="both"/>
        <w:rPr/>
      </w:pPr>
      <w:r>
        <w:rPr/>
        <w:t>Lielās zāles skatītāju zonas griestus paredzēts aprīkot ar 1 gab. priekšgaismu traversu, kas atrodas skatītāju zālē. Priekšgaismu traversa sastāv no 3 punktu alumīnija fermas ar 3 elektriskajām ķēdes vinčām (telferiem) un 3 trošu noejas punktiem. Sistēmas kopējā maksimālā kravnesība 500 kg. Telferiem jāatbilst D8+ drošības klasei, kas pieļauj kravas atrašanos bez papildus drošības trosēm virs cilvēkiem.</w:t>
      </w:r>
    </w:p>
    <w:p>
      <w:pPr>
        <w:pStyle w:val="Normal"/>
        <w:ind w:firstLine="720"/>
        <w:jc w:val="both"/>
        <w:rPr/>
      </w:pPr>
      <w:r>
        <w:rPr/>
        <w:t xml:space="preserve">Lielās zāles skatuvi paredzēts aprīkot ar 17 gab. dažādas kravnesības un konfigurācijas paceļamām traversām. Gaismu ierīču 4 gab. traversu piedziņa tiek nodrošināta ar 12 gab. (3 gab. uz vienu traversu) elektriskajiem ķēžu telferiem ar kravnesību vismaz 250 kg (maksimāli pieļaujams 500 kg) un dubulto bremžu sistēmu. Pārējās 13 (trīspadsmit) dekorāciju un kulišu pacelšanai paredzētas traversas tiek darbinātas ar gliemežtipa rokas vinčām, kuru kravnesība ir vismaz 250 kg (maksimāli pieļaujams 250 kg). Traversas ir iekārtas 3 punktos un veidotas no 2 vai 3 punktu alumīnija kopnēm. </w:t>
      </w:r>
    </w:p>
    <w:p>
      <w:pPr>
        <w:pStyle w:val="Normal"/>
        <w:ind w:firstLine="720"/>
        <w:jc w:val="both"/>
        <w:rPr/>
      </w:pPr>
      <w:r>
        <w:rPr/>
        <w:t>Apgaismojuma traversas ir aprīkotas ar kabeļu menedžmenta sistēmu, lai nodrošinātu barošanas un signāla kabeļu pievadīšanu attiecīgajai traversai. Skatuves zonā tiek izmantots “Zig – Zag” tipa kabeļu menedžmenta risinājums, kur uz traversas tiek piestiprināts menedžmenta savākšanas rāmis, bet menedžmenta augšējais stiprinājums ir nostiprināts pie griestiem. Skatuves dekoratīvajam priekškaram tiek nomainīta nolietojusies tērauda trose, lai nodrošinātu priekškara stabilu darbību.</w:t>
      </w:r>
    </w:p>
    <w:p>
      <w:pPr>
        <w:pStyle w:val="Normal"/>
        <w:ind w:firstLine="720"/>
        <w:jc w:val="both"/>
        <w:rPr/>
      </w:pPr>
      <w:r>
        <w:rPr/>
        <w:t>Visas elektriskās traversas paredzēts vadīt no vienotas vadības ierīces skatuves līmenī. Vadības iekārtai ir jāpieļauj vienlaicīga darbināšana visām elektriskajām traversām. Visiem augšējās mašinērijas mehānismiem ir jābūt aprīkotiem ar avārijas apstāšanās pogu.</w:t>
      </w:r>
    </w:p>
    <w:p>
      <w:pPr>
        <w:pStyle w:val="Normal"/>
        <w:jc w:val="both"/>
        <w:rPr>
          <w:u w:val="single"/>
        </w:rPr>
      </w:pPr>
      <w:r>
        <w:rPr>
          <w:u w:val="single"/>
        </w:rPr>
      </w:r>
    </w:p>
    <w:p>
      <w:pPr>
        <w:pStyle w:val="Normal"/>
        <w:jc w:val="both"/>
        <w:rPr/>
      </w:pPr>
      <w:r>
        <w:rPr>
          <w:u w:val="single"/>
        </w:rPr>
        <w:t>Tehniskie tilti, platformas</w:t>
      </w:r>
    </w:p>
    <w:p>
      <w:pPr>
        <w:pStyle w:val="Normal"/>
        <w:ind w:firstLine="720"/>
        <w:jc w:val="both"/>
        <w:rPr/>
      </w:pPr>
      <w:r>
        <w:rPr/>
        <w:t>Lielās zāles skatuves tehnisko tiltu un virsskatuves trīšu platformas konstrukcijas ir novecojušas un neatbilstošas paredzētā darba uzdevuma izpildei, tāpēc ir paredzēta vinču apkopes tehniskā tilta un virsskatuves trīšu platformas pārbūve, kas paredzēts MK daļā. Esošās vinču apkopes tehniskā tilta konstrukcijas paredzēts demontēt un veikt jaunu konstrukciju montāžu, uzstādīt metāla režģa klāju. Esošās virsskatuves trīšu platformas metāla siju konstrukcijas paredzēts pastiprināt, uzstādīt metāla režģa klāju.</w:t>
      </w:r>
    </w:p>
    <w:p>
      <w:pPr>
        <w:pStyle w:val="Normal"/>
        <w:ind w:firstLine="720"/>
        <w:jc w:val="both"/>
        <w:rPr/>
      </w:pPr>
      <w:r>
        <w:rPr/>
        <w:t>Paredzēts izbūvēt metāla kāpnes iekārtu apkalpošanai pie aizmugurējās skatuves sienas, nokļūšanai uz vinču apkopes tehniskā tilta no kura savukārt pa vertikālām metāla kāpnēm uzkāpjams uz virsskatuves trīšu platformas. Būvprojektā paredzētajam tērauda un metāla konstrukcijām ugunsizturība nav normēta.</w:t>
      </w:r>
    </w:p>
    <w:p>
      <w:pPr>
        <w:pStyle w:val="Normal"/>
        <w:jc w:val="both"/>
        <w:rPr/>
      </w:pPr>
      <w:r>
        <w:rPr/>
      </w:r>
    </w:p>
    <w:p>
      <w:pPr>
        <w:pStyle w:val="Normal"/>
        <w:jc w:val="both"/>
        <w:rPr/>
      </w:pPr>
      <w:r>
        <w:rPr/>
        <w:tab/>
        <w:t>Būvprojekta risinājumi neskar ģenerālplāna un arhitektūras risinājumus, ēkas nesošo būvkonstrukciju risinājumus (izņemot skatuves aprīkojuma konstrukcijas), ēkas ārējo un iekšējo inženiertehnisko sistēmu risinājumus (izņemot skatuves aprīkojuma elektroapgādi un skatuves apgaismojumu), tajā skaita neskar ugunsdrošības inženiertehnisko sistēmu izbūves risinājumus.</w:t>
      </w:r>
    </w:p>
    <w:p>
      <w:pPr>
        <w:pStyle w:val="Normal"/>
        <w:ind w:firstLine="708"/>
        <w:jc w:val="both"/>
        <w:rPr/>
      </w:pPr>
      <w:r>
        <w:rPr>
          <w:lang w:eastAsia="lv-LV"/>
        </w:rPr>
        <w:t>Atbilstoši Būvniecības likuma 9.1. panta (2) punkta prasībām, veicot būves un to daļu pārbūvi un atjaunošanu, būvnormatīvu tehniskās prasības ir piemērojamas attiecībā uz atjaunojamo un pārbūvējamo daļu. Atbilstoši LBN 201-15 3.p. prasībām, būves vai tās daļas atjaunošana, pārbūve, novietošanas, lietošanas veida maiņa un restaurācija nedrīkst pazemināt būves ugunsdrošību.</w:t>
      </w:r>
    </w:p>
    <w:p>
      <w:pPr>
        <w:pStyle w:val="Normal"/>
        <w:jc w:val="both"/>
        <w:rPr/>
      </w:pPr>
      <w:r>
        <w:rPr/>
      </w:r>
    </w:p>
    <w:p>
      <w:pPr>
        <w:pStyle w:val="Heading1"/>
        <w:jc w:val="left"/>
        <w:rPr/>
      </w:pPr>
      <w:bookmarkStart w:id="22" w:name="_Toc30363440"/>
      <w:bookmarkStart w:id="23" w:name="_Toc30363207"/>
      <w:r>
        <w:rPr/>
        <w:t>2.2. Lietošanas veids un ugunsslodze</w:t>
      </w:r>
      <w:bookmarkEnd w:id="22"/>
      <w:bookmarkEnd w:id="23"/>
    </w:p>
    <w:p>
      <w:pPr>
        <w:pStyle w:val="Normal"/>
        <w:jc w:val="both"/>
        <w:rPr/>
      </w:pPr>
      <w:r>
        <w:rPr/>
      </w:r>
    </w:p>
    <w:p>
      <w:pPr>
        <w:pStyle w:val="Normal"/>
        <w:ind w:firstLine="708"/>
        <w:jc w:val="both"/>
        <w:rPr/>
      </w:pPr>
      <w:r>
        <w:rPr/>
        <w:t>Būvprojekta risinājumi nemaina ēkas un to telpu lietošanas veidu un telpu ugunsslodzi.</w:t>
      </w:r>
    </w:p>
    <w:p>
      <w:pPr>
        <w:pStyle w:val="Normal"/>
        <w:rPr>
          <w:lang w:eastAsia="lv-LV"/>
        </w:rPr>
      </w:pPr>
      <w:r>
        <w:rPr>
          <w:lang w:eastAsia="lv-LV"/>
        </w:rPr>
      </w:r>
    </w:p>
    <w:p>
      <w:pPr>
        <w:pStyle w:val="Heading1"/>
        <w:jc w:val="left"/>
        <w:rPr>
          <w:b w:val="false"/>
          <w:b w:val="false"/>
        </w:rPr>
      </w:pPr>
      <w:bookmarkStart w:id="24" w:name="_Toc30363441"/>
      <w:bookmarkStart w:id="25" w:name="_Toc30363208"/>
      <w:r>
        <w:rPr>
          <w:szCs w:val="24"/>
        </w:rPr>
        <w:t xml:space="preserve">3. Ģenerālplāna ugunsdrošības risinājumi </w:t>
      </w:r>
      <w:r>
        <w:rPr/>
        <w:t>(ēku un būvju izvietošana, piebraukšanas ceļi, ārējo inženiertīklu izbūve, ugunsdzēsības un glābšanas darbu nodrošināšana)</w:t>
      </w:r>
      <w:bookmarkEnd w:id="24"/>
      <w:bookmarkEnd w:id="25"/>
    </w:p>
    <w:p>
      <w:pPr>
        <w:pStyle w:val="Normal"/>
        <w:jc w:val="both"/>
        <w:rPr>
          <w:highlight w:val="yellow"/>
        </w:rPr>
      </w:pPr>
      <w:r>
        <w:rPr>
          <w:highlight w:val="yellow"/>
        </w:rPr>
      </w:r>
    </w:p>
    <w:p>
      <w:pPr>
        <w:pStyle w:val="Normal"/>
        <w:ind w:firstLine="708"/>
        <w:jc w:val="both"/>
        <w:rPr/>
      </w:pPr>
      <w:r>
        <w:rPr/>
        <w:t>Būvprojekta risinājumi šādus risinājumus neskar.</w:t>
      </w:r>
    </w:p>
    <w:p>
      <w:pPr>
        <w:pStyle w:val="Normal"/>
        <w:jc w:val="both"/>
        <w:rPr/>
      </w:pPr>
      <w:r>
        <w:rPr/>
      </w:r>
    </w:p>
    <w:p>
      <w:pPr>
        <w:pStyle w:val="Heading1"/>
        <w:jc w:val="left"/>
        <w:rPr>
          <w:b w:val="false"/>
          <w:b w:val="false"/>
        </w:rPr>
      </w:pPr>
      <w:bookmarkStart w:id="26" w:name="_Toc30363442"/>
      <w:bookmarkStart w:id="27" w:name="_Toc30363209"/>
      <w:r>
        <w:rPr/>
        <w:t>4. Ugunsdrošības prasības būvkonstrukcijām un plānošanas risinājumiem. Ēku ugunsnoturības pakāpes, nesošo un norobežojošo būvkonstrukciju ugunsizturība un ugunsreakcijas klases. Arhitektūras un būvkonstrukciju daļu ugunsdrošības risinājumi</w:t>
      </w:r>
      <w:bookmarkEnd w:id="26"/>
      <w:bookmarkEnd w:id="27"/>
    </w:p>
    <w:p>
      <w:pPr>
        <w:pStyle w:val="Normal"/>
        <w:jc w:val="both"/>
        <w:rPr/>
      </w:pPr>
      <w:r>
        <w:rPr/>
      </w:r>
    </w:p>
    <w:p>
      <w:pPr>
        <w:pStyle w:val="Normal"/>
        <w:ind w:firstLine="708"/>
        <w:jc w:val="both"/>
        <w:rPr/>
      </w:pPr>
      <w:r>
        <w:rPr/>
        <w:t>Būvprojekta risinājumi šādus risinājumus neskar. Būvprojektā paredzētajam tērauda un metāla konstrukcijām ugunsizturība nav normēta.</w:t>
      </w:r>
      <w:r>
        <w:br w:type="page"/>
      </w:r>
    </w:p>
    <w:p>
      <w:pPr>
        <w:pStyle w:val="Normal"/>
        <w:rPr/>
      </w:pPr>
      <w:r>
        <w:rPr/>
      </w:r>
    </w:p>
    <w:p>
      <w:pPr>
        <w:pStyle w:val="Heading1"/>
        <w:jc w:val="left"/>
        <w:rPr>
          <w:szCs w:val="24"/>
        </w:rPr>
      </w:pPr>
      <w:bookmarkStart w:id="28" w:name="_Toc30363443"/>
      <w:bookmarkStart w:id="29" w:name="_Toc30363210"/>
      <w:r>
        <w:rPr>
          <w:szCs w:val="24"/>
        </w:rPr>
        <w:t xml:space="preserve">5. </w:t>
      </w:r>
      <w:r>
        <w:rPr>
          <w:lang w:eastAsia="lv-LV"/>
        </w:rPr>
        <w:t>Ugunsdrošības inženiertehniskās</w:t>
      </w:r>
      <w:r>
        <w:rPr/>
        <w:t xml:space="preserve"> sistēmas</w:t>
      </w:r>
      <w:bookmarkEnd w:id="28"/>
      <w:bookmarkEnd w:id="29"/>
    </w:p>
    <w:p>
      <w:pPr>
        <w:pStyle w:val="Normal"/>
        <w:rPr/>
      </w:pPr>
      <w:r>
        <w:rPr/>
      </w:r>
    </w:p>
    <w:p>
      <w:pPr>
        <w:pStyle w:val="Normal"/>
        <w:ind w:firstLine="708"/>
        <w:jc w:val="both"/>
        <w:rPr/>
      </w:pPr>
      <w:r>
        <w:rPr/>
        <w:t>Būvprojekta risinājumi neskar esošās ugunsdrošības inženiertehniskās sistēmas un neprasa izbūvēt papildus ugunsdrošības inženiertehniskās sistēmas. Veicot būvprojekta risinājumu realizāciju, jāpievērš uzmanību, lai nesabojātu esošās ugunsdrošības inženiertehniskās sistēmas (īpaši automātiskās ugunsgrēka atklāšanas un trauksmes signalizācijas sistēmas ugunsgrēka detektorus un instalācijas kabeļus un vadus) un jāveic to pārbaudi pēc darbu pabeigšanas.</w:t>
      </w:r>
    </w:p>
    <w:p>
      <w:pPr>
        <w:pStyle w:val="Normal"/>
        <w:jc w:val="both"/>
        <w:rPr/>
      </w:pPr>
      <w:r>
        <w:rPr/>
      </w:r>
    </w:p>
    <w:p>
      <w:pPr>
        <w:pStyle w:val="Normal"/>
        <w:jc w:val="both"/>
        <w:rPr/>
      </w:pPr>
      <w:r>
        <w:rPr/>
      </w:r>
    </w:p>
    <w:p>
      <w:pPr>
        <w:pStyle w:val="Heading1"/>
        <w:jc w:val="left"/>
        <w:rPr>
          <w:szCs w:val="24"/>
        </w:rPr>
      </w:pPr>
      <w:bookmarkStart w:id="30" w:name="_Toc30363444"/>
      <w:bookmarkStart w:id="31" w:name="_Toc30363211"/>
      <w:r>
        <w:rPr>
          <w:szCs w:val="24"/>
        </w:rPr>
        <w:t>6. Paredzētie inženiertehnisko sistēmu ugunsdrošības risinājumi</w:t>
      </w:r>
      <w:bookmarkEnd w:id="30"/>
      <w:bookmarkEnd w:id="31"/>
    </w:p>
    <w:p>
      <w:pPr>
        <w:pStyle w:val="Normal"/>
        <w:jc w:val="both"/>
        <w:rPr/>
      </w:pPr>
      <w:r>
        <w:rPr/>
      </w:r>
    </w:p>
    <w:p>
      <w:pPr>
        <w:pStyle w:val="Normal"/>
        <w:ind w:firstLine="708"/>
        <w:jc w:val="both"/>
        <w:rPr/>
      </w:pPr>
      <w:r>
        <w:rPr/>
        <w:t>Būvprojekta risinājumi neskar ēkas ārējo un iekšējo inženiertehnisko sistēmu risinājumus, izņemot skatuves aprīkojuma elektroapgādi un skatuves apgaismojumu. Skatuves aprīkojuma elektroapgādi un skatuves apgaismojumu paredz atbilstoši LBN 261</w:t>
        <w:noBreakHyphen/>
        <w:t>15 "Ēku iekšējo elektroinstalāciju izbūve" prasībām.</w:t>
      </w:r>
    </w:p>
    <w:p>
      <w:pPr>
        <w:pStyle w:val="Normal"/>
        <w:rPr/>
      </w:pPr>
      <w:r>
        <w:rPr/>
      </w:r>
    </w:p>
    <w:p>
      <w:pPr>
        <w:pStyle w:val="Normal"/>
        <w:rPr/>
      </w:pPr>
      <w:r>
        <w:rPr/>
      </w:r>
    </w:p>
    <w:p>
      <w:pPr>
        <w:pStyle w:val="Heading1"/>
        <w:jc w:val="left"/>
        <w:rPr>
          <w:szCs w:val="24"/>
        </w:rPr>
      </w:pPr>
      <w:bookmarkStart w:id="32" w:name="_Toc30363445"/>
      <w:bookmarkStart w:id="33" w:name="_Toc30363212"/>
      <w:r>
        <w:rPr>
          <w:szCs w:val="24"/>
        </w:rPr>
        <w:t xml:space="preserve">7. </w:t>
      </w:r>
      <w:r>
        <w:rPr/>
        <w:t>Manuālās (primārās) ugunsdzēsības iekārtas - ugunsdzēsības aparāti. Aprēķins</w:t>
      </w:r>
      <w:bookmarkEnd w:id="32"/>
      <w:bookmarkEnd w:id="33"/>
    </w:p>
    <w:p>
      <w:pPr>
        <w:pStyle w:val="Normal"/>
        <w:jc w:val="both"/>
        <w:rPr/>
      </w:pPr>
      <w:r>
        <w:rPr/>
      </w:r>
    </w:p>
    <w:p>
      <w:pPr>
        <w:pStyle w:val="Normal"/>
        <w:ind w:firstLine="708"/>
        <w:jc w:val="both"/>
        <w:rPr/>
      </w:pPr>
      <w:r>
        <w:rPr/>
        <w:t>Būvprojekta risinājumi neprasa palielināt ugunsdzēsības aparātu skaitu un/vai cita ugunsdzēsības aprīkojuma daudzumu. Aprēķins nav nepieciešams.</w:t>
      </w:r>
    </w:p>
    <w:p>
      <w:pPr>
        <w:pStyle w:val="Normal"/>
        <w:jc w:val="both"/>
        <w:rPr/>
      </w:pPr>
      <w:r>
        <w:rPr/>
        <w:t xml:space="preserve">Ugunsdzēsības aparātu skaitam ēkā jāatbilst Ministru kabineta 2016.gada 19.apriļa noteikumu Nr.238 „Ugunsdrošības noteikumi” </w:t>
      </w:r>
      <w:r>
        <w:rPr>
          <w:bCs/>
        </w:rPr>
        <w:t>prasībām.</w:t>
      </w:r>
    </w:p>
    <w:p>
      <w:pPr>
        <w:pStyle w:val="Normal"/>
        <w:jc w:val="both"/>
        <w:rPr/>
      </w:pPr>
      <w:r>
        <w:rPr/>
      </w:r>
    </w:p>
    <w:p>
      <w:pPr>
        <w:pStyle w:val="Normal"/>
        <w:jc w:val="both"/>
        <w:rPr/>
      </w:pPr>
      <w:r>
        <w:rPr/>
      </w:r>
    </w:p>
    <w:p>
      <w:pPr>
        <w:pStyle w:val="Heading1"/>
        <w:jc w:val="left"/>
        <w:rPr>
          <w:b w:val="false"/>
          <w:b w:val="false"/>
        </w:rPr>
      </w:pPr>
      <w:bookmarkStart w:id="34" w:name="_Toc30363446"/>
      <w:bookmarkStart w:id="35" w:name="_Toc30363213"/>
      <w:r>
        <w:rPr/>
        <w:t>9. Ugunsdrošības pasākumi ekspluatācijas stadijā</w:t>
      </w:r>
      <w:bookmarkEnd w:id="34"/>
      <w:bookmarkEnd w:id="35"/>
    </w:p>
    <w:p>
      <w:pPr>
        <w:pStyle w:val="Normal"/>
        <w:jc w:val="both"/>
        <w:rPr/>
      </w:pPr>
      <w:r>
        <w:rPr/>
      </w:r>
    </w:p>
    <w:p>
      <w:pPr>
        <w:pStyle w:val="Normal"/>
        <w:ind w:firstLine="708"/>
        <w:jc w:val="both"/>
        <w:rPr/>
      </w:pPr>
      <w:r>
        <w:rPr/>
        <w:t xml:space="preserve">Ugunsdrošības pasākumus projektējamā objekta un tā inženiertehnisko sistēmu, tajā skaitā </w:t>
      </w:r>
      <w:r>
        <w:rPr>
          <w:lang w:eastAsia="lv-LV"/>
        </w:rPr>
        <w:t xml:space="preserve">ugunsdrošības inženiertehnisko </w:t>
      </w:r>
      <w:r>
        <w:rPr/>
        <w:t>sistēmu, ekspluatācijas stadijā (pēc tās nodošanas ekspluatācijā) nosaka Ministru kabineta 2016.gada 19.apriļa noteikumi Nr.238 „Ugunsdrošības noteikumi” un to izpildei piemērojamie standarti.</w:t>
      </w:r>
    </w:p>
    <w:p>
      <w:pPr>
        <w:pStyle w:val="Normal"/>
        <w:ind w:firstLine="708"/>
        <w:jc w:val="both"/>
        <w:rPr/>
      </w:pPr>
      <w:r>
        <w:rPr/>
        <w:t>Būvprojekta risinājumu realizācija neprasa veikt papildus pasākumus ēkā.</w:t>
      </w:r>
    </w:p>
    <w:p>
      <w:pPr>
        <w:pStyle w:val="Normal"/>
        <w:jc w:val="both"/>
        <w:rPr/>
      </w:pPr>
      <w:r>
        <w:rPr/>
      </w:r>
    </w:p>
    <w:p>
      <w:pPr>
        <w:pStyle w:val="Header"/>
        <w:rPr/>
      </w:pPr>
      <w:r>
        <w:rPr/>
      </w:r>
    </w:p>
    <w:p>
      <w:pPr>
        <w:pStyle w:val="Header"/>
        <w:rPr/>
      </w:pPr>
      <w:r>
        <w:rPr/>
        <w:t>Ugunsdrošības pasākumu pārskata daļas vadītājs</w:t>
      </w:r>
    </w:p>
    <w:p>
      <w:pPr>
        <w:pStyle w:val="Normal"/>
        <w:spacing w:lineRule="atLeast" w:line="300"/>
        <w:rPr/>
      </w:pPr>
      <w:r>
        <w:rPr>
          <w:iCs/>
        </w:rPr>
        <w:t>Mārtiņš Dadzītis</w:t>
      </w:r>
      <w:r>
        <w:rPr/>
        <w:t>,</w:t>
      </w:r>
    </w:p>
    <w:p>
      <w:pPr>
        <w:pStyle w:val="Normal"/>
        <w:spacing w:lineRule="atLeast" w:line="300"/>
        <w:rPr/>
      </w:pPr>
      <w:r>
        <w:rPr/>
        <w:t>būvprakses sertifikāts Nr. 3-01523</w:t>
      </w:r>
    </w:p>
    <w:p>
      <w:pPr>
        <w:pStyle w:val="Normal"/>
        <w:spacing w:lineRule="atLeast" w:line="300"/>
        <w:rPr/>
      </w:pPr>
      <w:r>
        <w:rPr/>
        <w:t>18.01.2020.</w:t>
      </w:r>
    </w:p>
    <w:sectPr>
      <w:footerReference w:type="default" r:id="rId2"/>
      <w:type w:val="nextPage"/>
      <w:pgSz w:w="11906" w:h="16838"/>
      <w:pgMar w:left="1701" w:right="1418" w:header="0" w:top="1134" w:footer="709" w:bottom="1134" w:gutter="0"/>
      <w:pgNumType w:fmt="decimal"/>
      <w:formProt w:val="false"/>
      <w:titlePg/>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ba"/>
    <w:family w:val="roman"/>
    <w:pitch w:val="variable"/>
  </w:font>
  <w:font w:name="Times New Roman">
    <w:charset w:val="ba"/>
    <w:family w:val="roman"/>
    <w:pitch w:val="variable"/>
  </w:font>
  <w:font w:name="Arial">
    <w:charset w:val="ba"/>
    <w:family w:val="roman"/>
    <w:pitch w:val="variable"/>
  </w:font>
  <w:font w:name="Century Gothic">
    <w:charset w:val="ba"/>
    <w:family w:val="roman"/>
    <w:pitch w:val="variable"/>
  </w:font>
  <w:font w:name="Liberation Sans">
    <w:altName w:val="Arial"/>
    <w:charset w:val="ba"/>
    <w:family w:val="swiss"/>
    <w:pitch w:val="variable"/>
  </w:font>
  <w:font w:name="Tahoma">
    <w:charset w:val="ba"/>
    <w:family w:val="roman"/>
    <w:pitch w:val="variable"/>
  </w:font>
  <w:font w:name="Courier New">
    <w:charset w:val="ba"/>
    <w:family w:val="roman"/>
    <w:pitch w:val="variable"/>
  </w:font>
  <w:font w:name="Verdana">
    <w:charset w:val="ba"/>
    <w:family w:val="roman"/>
    <w:pitch w:val="variable"/>
  </w:font>
  <w:font w:name="Calibri Light">
    <w:charset w:val="ba"/>
    <w:family w:val="roman"/>
    <w:pitch w:val="variable"/>
  </w:font>
  <w:font w:name="Calibri">
    <w:charset w:val="ba"/>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PMingLiU-ExtB">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Gallery w:val="Page Numbers (Top of Page)"/>
        <w:docPartUnique w:val="true"/>
      </w:docPartObj>
      <w:id w:val="815409732"/>
    </w:sdtPr>
    <w:sdtContent>
      <w:p>
        <w:pPr>
          <w:pStyle w:val="Footer"/>
          <w:jc w:val="right"/>
          <w:rPr/>
        </w:pPr>
        <w:r>
          <w:rPr/>
        </w:r>
      </w:p>
      <w:p>
        <w:pPr>
          <w:pStyle w:val="Footer"/>
          <w:jc w:val="right"/>
          <w:rPr/>
        </w:pPr>
        <w:r>
          <w:rPr/>
          <w:t>Lp.</w:t>
        </w:r>
        <w:r>
          <w:rPr>
            <w:b/>
            <w:bCs/>
          </w:rPr>
          <w:fldChar w:fldCharType="begin"/>
        </w:r>
        <w:r>
          <w:rPr>
            <w:b/>
            <w:bCs/>
          </w:rPr>
          <w:instrText> PAGE </w:instrText>
        </w:r>
        <w:r>
          <w:rPr>
            <w:b/>
            <w:bCs/>
          </w:rPr>
          <w:fldChar w:fldCharType="separate"/>
        </w:r>
        <w:r>
          <w:rPr>
            <w:b/>
            <w:bCs/>
          </w:rPr>
          <w:t>8</w:t>
        </w:r>
        <w:r>
          <w:rPr>
            <w:b/>
            <w:bCs/>
          </w:rPr>
          <w:fldChar w:fldCharType="end"/>
        </w:r>
        <w:r>
          <w:rPr/>
          <w:t xml:space="preserve"> no </w:t>
        </w:r>
        <w:r>
          <w:rPr>
            <w:b/>
            <w:bCs/>
          </w:rPr>
          <w:fldChar w:fldCharType="begin"/>
        </w:r>
        <w:r>
          <w:rPr>
            <w:b/>
            <w:bCs/>
          </w:rPr>
          <w:instrText> NUMPAGES </w:instrText>
        </w:r>
        <w:r>
          <w:rPr>
            <w:b/>
            <w:bCs/>
          </w:rPr>
          <w:fldChar w:fldCharType="separate"/>
        </w:r>
        <w:r>
          <w:rPr>
            <w:b/>
            <w:bCs/>
          </w:rPr>
          <w:t>8</w:t>
        </w:r>
        <w:r>
          <w:rPr>
            <w:b/>
            <w:bCs/>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360"/>
        </w:tabs>
        <w:ind w:left="360" w:hanging="360"/>
      </w:pPr>
      <w:rPr>
        <w:rFonts w:ascii="Times New Roman" w:hAnsi="Times New Roman" w:cs="Times New Roman" w:hint="default"/>
        <w:rFonts w:cs="Times New Roman"/>
      </w:rPr>
    </w:lvl>
    <w:lvl w:ilvl="1">
      <w:start w:val="1"/>
      <w:numFmt w:val="bullet"/>
      <w:lvlText w:val="o"/>
      <w:lvlJc w:val="left"/>
      <w:pPr>
        <w:tabs>
          <w:tab w:val="num" w:pos="1080"/>
        </w:tabs>
        <w:ind w:left="1080" w:hanging="360"/>
      </w:pPr>
      <w:rPr>
        <w:rFonts w:ascii="Courier New" w:hAnsi="Courier New" w:cs="Courier New" w:hint="default"/>
        <w:rFonts w:cs="Courier New"/>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Fonts w:cs="Courier New"/>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Fonts w:cs="Courier New"/>
      </w:rPr>
    </w:lvl>
    <w:lvl w:ilvl="8">
      <w:start w:val="1"/>
      <w:numFmt w:val="bullet"/>
      <w:lvlText w:val=""/>
      <w:lvlJc w:val="left"/>
      <w:pPr>
        <w:tabs>
          <w:tab w:val="num" w:pos="6120"/>
        </w:tabs>
        <w:ind w:left="6120" w:hanging="360"/>
      </w:pPr>
      <w:rPr>
        <w:rFonts w:ascii="Wingdings" w:hAnsi="Wingdings" w:cs="Wingdings" w:hint="default"/>
      </w:rPr>
    </w:lvl>
  </w:abstractNum>
  <w:abstractNum w:abstractNumId="2">
    <w:lvl w:ilvl="0">
      <w:start w:val="1"/>
      <w:numFmt w:val="bullet"/>
      <w:lvlText w:val="-"/>
      <w:lvlJc w:val="left"/>
      <w:pPr>
        <w:tabs>
          <w:tab w:val="num" w:pos="360"/>
        </w:tabs>
        <w:ind w:left="360" w:hanging="360"/>
      </w:pPr>
      <w:rPr>
        <w:rFonts w:ascii="PMingLiU-ExtB" w:hAnsi="PMingLiU-ExtB" w:cs="PMingLiU-ExtB" w:hint="default"/>
        <w:rFonts w:cs="PMingLiU-ExtB"/>
      </w:rPr>
    </w:lvl>
    <w:lvl w:ilvl="1">
      <w:start w:val="1"/>
      <w:numFmt w:val="bullet"/>
      <w:lvlText w:val="o"/>
      <w:lvlJc w:val="left"/>
      <w:pPr>
        <w:tabs>
          <w:tab w:val="num" w:pos="1080"/>
        </w:tabs>
        <w:ind w:left="1080" w:hanging="360"/>
      </w:pPr>
      <w:rPr>
        <w:rFonts w:ascii="Courier New" w:hAnsi="Courier New" w:cs="Courier New" w:hint="default"/>
        <w:rFonts w:cs="Courier New"/>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Fonts w:cs="Courier New"/>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Fonts w:cs="Courier New"/>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lvl w:ilvl="0">
      <w:start w:val="1"/>
      <w:numFmt w:val="bullet"/>
      <w:lvlText w:val="-"/>
      <w:lvlJc w:val="left"/>
      <w:pPr>
        <w:ind w:left="720" w:hanging="360"/>
      </w:pPr>
      <w:rPr>
        <w:rFonts w:ascii="Times New Roman" w:hAnsi="Times New Roman" w:cs="Times New Roman" w:hint="default"/>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360" w:hanging="360"/>
      </w:pPr>
      <w:rPr>
        <w:rFonts w:ascii="Times New Roman" w:hAnsi="Times New Roman" w:cs="Times New Roman" w:hint="default"/>
        <w:rFonts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lvl w:ilvl="0">
      <w:start w:val="1"/>
      <w:numFmt w:val="bullet"/>
      <w:lvlText w:val="-"/>
      <w:lvlJc w:val="left"/>
      <w:pPr>
        <w:ind w:left="360" w:hanging="360"/>
      </w:pPr>
      <w:rPr>
        <w:rFonts w:ascii="Times New Roman" w:hAnsi="Times New Roman" w:cs="Times New Roman" w:hint="default"/>
        <w:rFonts w:cs="Times New Roman"/>
      </w:rPr>
    </w:lvl>
    <w:lvl w:ilvl="1">
      <w:start w:val="1"/>
      <w:numFmt w:val="bullet"/>
      <w:lvlText w:val="o"/>
      <w:lvlJc w:val="left"/>
      <w:pPr>
        <w:ind w:left="1080" w:hanging="360"/>
      </w:pPr>
      <w:rPr>
        <w:rFonts w:ascii="Courier New" w:hAnsi="Courier New" w:cs="Courier New" w:hint="default"/>
        <w:rFonts w:cs="Courier New"/>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Fonts w:cs="Courier New"/>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Fonts w:cs="Courier New"/>
      </w:rPr>
    </w:lvl>
    <w:lvl w:ilvl="8">
      <w:start w:val="1"/>
      <w:numFmt w:val="bullet"/>
      <w:lvlText w:val=""/>
      <w:lvlJc w:val="left"/>
      <w:pPr>
        <w:ind w:left="6120" w:hanging="360"/>
      </w:pPr>
      <w:rPr>
        <w:rFonts w:ascii="Wingdings" w:hAnsi="Wingdings" w:cs="Wingdings" w:hint="default"/>
      </w:r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10"/>
  <w:mirrorMargin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lv-LV"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lv-LV" w:eastAsia="lv-LV" w:bidi="ar-SA"/>
      </w:rPr>
    </w:rPrDefault>
    <w:pPrDefaul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jc w:val="left"/>
    </w:pPr>
    <w:rPr>
      <w:rFonts w:ascii="Times New Roman" w:hAnsi="Times New Roman" w:eastAsia="Times New Roman" w:cs="Times New Roman"/>
      <w:color w:val="auto"/>
      <w:kern w:val="0"/>
      <w:sz w:val="24"/>
      <w:szCs w:val="24"/>
      <w:lang w:eastAsia="ru-RU" w:val="lv-LV" w:bidi="ar-SA"/>
    </w:rPr>
  </w:style>
  <w:style w:type="paragraph" w:styleId="Heading1">
    <w:name w:val="Heading 1"/>
    <w:basedOn w:val="Normal"/>
    <w:next w:val="Normal"/>
    <w:qFormat/>
    <w:rsid w:val="00281d72"/>
    <w:pPr>
      <w:keepNext w:val="true"/>
      <w:jc w:val="center"/>
      <w:outlineLvl w:val="0"/>
    </w:pPr>
    <w:rPr>
      <w:b/>
      <w:bCs/>
      <w:szCs w:val="19"/>
      <w:lang w:eastAsia="en-US"/>
    </w:rPr>
  </w:style>
  <w:style w:type="paragraph" w:styleId="Heading2">
    <w:name w:val="Heading 2"/>
    <w:basedOn w:val="Normal"/>
    <w:next w:val="Normal"/>
    <w:qFormat/>
    <w:rsid w:val="00ae308e"/>
    <w:pPr>
      <w:keepNext w:val="true"/>
      <w:spacing w:before="240" w:after="60"/>
      <w:outlineLvl w:val="1"/>
    </w:pPr>
    <w:rPr>
      <w:rFonts w:ascii="Arial" w:hAnsi="Arial" w:cs="Arial"/>
      <w:b/>
      <w:bCs/>
      <w:i/>
      <w:iCs/>
    </w:rPr>
  </w:style>
  <w:style w:type="paragraph" w:styleId="Heading3">
    <w:name w:val="Heading 3"/>
    <w:basedOn w:val="Normal"/>
    <w:next w:val="Normal"/>
    <w:qFormat/>
    <w:rsid w:val="00787046"/>
    <w:pPr>
      <w:keepNext w:val="true"/>
      <w:spacing w:before="240" w:after="60"/>
      <w:outlineLvl w:val="2"/>
    </w:pPr>
    <w:rPr>
      <w:rFonts w:ascii="Arial" w:hAnsi="Arial" w:cs="Arial"/>
      <w:b/>
      <w:bCs/>
      <w:sz w:val="26"/>
      <w:szCs w:val="26"/>
    </w:rPr>
  </w:style>
  <w:style w:type="paragraph" w:styleId="Heading4">
    <w:name w:val="Heading 4"/>
    <w:basedOn w:val="Normal"/>
    <w:next w:val="Normal"/>
    <w:qFormat/>
    <w:rsid w:val="003a2ac2"/>
    <w:pPr>
      <w:keepNext w:val="true"/>
      <w:spacing w:before="240" w:after="60"/>
      <w:outlineLvl w:val="3"/>
    </w:pPr>
    <w:rPr>
      <w:b/>
      <w:bCs/>
    </w:rPr>
  </w:style>
  <w:style w:type="paragraph" w:styleId="Heading5">
    <w:name w:val="Heading 5"/>
    <w:basedOn w:val="Normal"/>
    <w:next w:val="Normal"/>
    <w:qFormat/>
    <w:rsid w:val="003a2ac2"/>
    <w:pPr>
      <w:spacing w:before="240" w:after="60"/>
      <w:outlineLvl w:val="4"/>
    </w:pPr>
    <w:rPr>
      <w:b/>
      <w:bCs/>
      <w:i/>
      <w:iCs/>
      <w:sz w:val="26"/>
      <w:szCs w:val="26"/>
    </w:rPr>
  </w:style>
  <w:style w:type="paragraph" w:styleId="Heading7">
    <w:name w:val="Heading 7"/>
    <w:basedOn w:val="Normal"/>
    <w:next w:val="Normal"/>
    <w:qFormat/>
    <w:rsid w:val="00932a79"/>
    <w:pPr>
      <w:spacing w:before="240" w:after="60"/>
      <w:outlineLvl w:val="6"/>
    </w:pPr>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7d02b4"/>
    <w:rPr/>
  </w:style>
  <w:style w:type="character" w:styleId="InternetLink">
    <w:name w:val="Internet Link"/>
    <w:uiPriority w:val="99"/>
    <w:rsid w:val="00d302dd"/>
    <w:rPr>
      <w:color w:val="0000FF"/>
      <w:u w:val="single"/>
    </w:rPr>
  </w:style>
  <w:style w:type="character" w:styleId="Annotationreference">
    <w:name w:val="annotation reference"/>
    <w:qFormat/>
    <w:rsid w:val="00bd4c76"/>
    <w:rPr>
      <w:sz w:val="16"/>
      <w:szCs w:val="16"/>
    </w:rPr>
  </w:style>
  <w:style w:type="character" w:styleId="IzdaltieChar" w:customStyle="1">
    <w:name w:val="Izdalītie Char"/>
    <w:link w:val="Izdaltie"/>
    <w:qFormat/>
    <w:locked/>
    <w:rsid w:val="00932a79"/>
    <w:rPr>
      <w:b/>
      <w:i/>
      <w:sz w:val="24"/>
      <w:szCs w:val="24"/>
      <w:lang w:val="lv-LV" w:eastAsia="lv-LV" w:bidi="ar-SA"/>
    </w:rPr>
  </w:style>
  <w:style w:type="character" w:styleId="FootnoteCharacters">
    <w:name w:val="Footnote Characters"/>
    <w:semiHidden/>
    <w:qFormat/>
    <w:rsid w:val="0094587d"/>
    <w:rPr>
      <w:vertAlign w:val="superscript"/>
    </w:rPr>
  </w:style>
  <w:style w:type="character" w:styleId="FootnoteAnchor">
    <w:name w:val="Footnote Anchor"/>
    <w:rPr>
      <w:vertAlign w:val="superscript"/>
    </w:rPr>
  </w:style>
  <w:style w:type="character" w:styleId="TekstsChar1" w:customStyle="1">
    <w:name w:val="Teksts Char1"/>
    <w:link w:val="Teksts"/>
    <w:qFormat/>
    <w:rsid w:val="005d6a8e"/>
    <w:rPr>
      <w:sz w:val="24"/>
      <w:szCs w:val="24"/>
      <w:lang w:val="lv-LV" w:eastAsia="lv-LV" w:bidi="ar-SA"/>
    </w:rPr>
  </w:style>
  <w:style w:type="character" w:styleId="TekstsChar" w:customStyle="1">
    <w:name w:val="Teksts Char"/>
    <w:qFormat/>
    <w:rsid w:val="00245d00"/>
    <w:rPr>
      <w:sz w:val="24"/>
      <w:szCs w:val="24"/>
      <w:lang w:val="lv-LV" w:eastAsia="lv-LV" w:bidi="ar-SA"/>
    </w:rPr>
  </w:style>
  <w:style w:type="character" w:styleId="AtkapeChar" w:customStyle="1">
    <w:name w:val="atkape Char"/>
    <w:link w:val="atkape"/>
    <w:qFormat/>
    <w:rsid w:val="00245d00"/>
    <w:rPr>
      <w:sz w:val="24"/>
      <w:szCs w:val="24"/>
      <w:lang w:val="lv-LV" w:eastAsia="lv-LV" w:bidi="ar-SA"/>
    </w:rPr>
  </w:style>
  <w:style w:type="character" w:styleId="FontStyle45" w:customStyle="1">
    <w:name w:val="Font Style45"/>
    <w:qFormat/>
    <w:rsid w:val="009436ca"/>
    <w:rPr>
      <w:rFonts w:ascii="Times New Roman" w:hAnsi="Times New Roman" w:cs="Times New Roman"/>
      <w:sz w:val="22"/>
      <w:szCs w:val="22"/>
    </w:rPr>
  </w:style>
  <w:style w:type="character" w:styleId="FontStyle48" w:customStyle="1">
    <w:name w:val="Font Style48"/>
    <w:qFormat/>
    <w:rsid w:val="009436ca"/>
    <w:rPr>
      <w:rFonts w:ascii="Times New Roman" w:hAnsi="Times New Roman" w:cs="Times New Roman"/>
      <w:b/>
      <w:bCs/>
      <w:sz w:val="22"/>
      <w:szCs w:val="22"/>
    </w:rPr>
  </w:style>
  <w:style w:type="character" w:styleId="Strong">
    <w:name w:val="Strong"/>
    <w:qFormat/>
    <w:rsid w:val="0065342a"/>
    <w:rPr>
      <w:b/>
      <w:bCs/>
    </w:rPr>
  </w:style>
  <w:style w:type="character" w:styleId="FontStyle89" w:customStyle="1">
    <w:name w:val="Font Style89"/>
    <w:uiPriority w:val="99"/>
    <w:qFormat/>
    <w:rsid w:val="0065342a"/>
    <w:rPr>
      <w:rFonts w:ascii="Times New Roman" w:hAnsi="Times New Roman" w:cs="Times New Roman"/>
      <w:sz w:val="24"/>
      <w:szCs w:val="24"/>
    </w:rPr>
  </w:style>
  <w:style w:type="character" w:styleId="FontStyle13" w:customStyle="1">
    <w:name w:val="Font Style13"/>
    <w:uiPriority w:val="99"/>
    <w:qFormat/>
    <w:rsid w:val="0065342a"/>
    <w:rPr>
      <w:rFonts w:ascii="Century Gothic" w:hAnsi="Century Gothic" w:cs="Century Gothic"/>
      <w:sz w:val="26"/>
      <w:szCs w:val="26"/>
    </w:rPr>
  </w:style>
  <w:style w:type="character" w:styleId="FooterChar" w:customStyle="1">
    <w:name w:val="Footer Char"/>
    <w:basedOn w:val="DefaultParagraphFont"/>
    <w:link w:val="Footer"/>
    <w:uiPriority w:val="99"/>
    <w:qFormat/>
    <w:rsid w:val="00735362"/>
    <w:rPr>
      <w:sz w:val="24"/>
      <w:szCs w:val="24"/>
      <w:lang w:eastAsia="ru-RU"/>
    </w:rPr>
  </w:style>
  <w:style w:type="character" w:styleId="ListParagraphChar" w:customStyle="1">
    <w:name w:val="List Paragraph Char"/>
    <w:link w:val="ListParagraph"/>
    <w:uiPriority w:val="34"/>
    <w:qFormat/>
    <w:locked/>
    <w:rsid w:val="00b26435"/>
    <w:rPr>
      <w:sz w:val="24"/>
      <w:szCs w:val="22"/>
      <w:lang w:eastAsia="en-US"/>
    </w:rPr>
  </w:style>
  <w:style w:type="character" w:styleId="CommentTextChar" w:customStyle="1">
    <w:name w:val="Comment Text Char"/>
    <w:basedOn w:val="DefaultParagraphFont"/>
    <w:link w:val="CommentText"/>
    <w:qFormat/>
    <w:rsid w:val="00de1285"/>
    <w:rPr>
      <w:lang w:eastAsia="ru-RU"/>
    </w:rPr>
  </w:style>
  <w:style w:type="character" w:styleId="HeaderChar" w:customStyle="1">
    <w:name w:val="Header Char"/>
    <w:link w:val="Header"/>
    <w:qFormat/>
    <w:rsid w:val="00ea7057"/>
    <w:rPr>
      <w:sz w:val="24"/>
      <w:szCs w:val="24"/>
      <w:lang w:eastAsia="ru-RU"/>
    </w:rPr>
  </w:style>
  <w:style w:type="character" w:styleId="IndexLink">
    <w:name w:val="Index Link"/>
    <w:qFormat/>
    <w:rPr/>
  </w:style>
  <w:style w:type="paragraph" w:styleId="Heading">
    <w:name w:val="Heading"/>
    <w:basedOn w:val="Normal"/>
    <w:next w:val="TextBody"/>
    <w:qFormat/>
    <w:pPr>
      <w:keepNext w:val="true"/>
      <w:spacing w:before="240" w:after="120"/>
    </w:pPr>
    <w:rPr>
      <w:rFonts w:ascii="Liberation Sans" w:hAnsi="Liberation Sans" w:eastAsia="Microsoft YaHei" w:cs="Arial Unicode MS"/>
      <w:sz w:val="28"/>
      <w:szCs w:val="28"/>
    </w:rPr>
  </w:style>
  <w:style w:type="paragraph" w:styleId="TextBody">
    <w:name w:val="Body Text"/>
    <w:basedOn w:val="Normal"/>
    <w:rsid w:val="00610b02"/>
    <w:pPr>
      <w:spacing w:before="0" w:after="12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 w:type="paragraph" w:styleId="HeaderandFooter">
    <w:name w:val="Header and Footer"/>
    <w:basedOn w:val="Normal"/>
    <w:qFormat/>
    <w:pPr/>
    <w:rPr/>
  </w:style>
  <w:style w:type="paragraph" w:styleId="Header">
    <w:name w:val="Header"/>
    <w:basedOn w:val="Normal"/>
    <w:link w:val="HeaderChar"/>
    <w:rsid w:val="007d02b4"/>
    <w:pPr>
      <w:tabs>
        <w:tab w:val="clear" w:pos="708"/>
        <w:tab w:val="center" w:pos="4677" w:leader="none"/>
        <w:tab w:val="right" w:pos="9355" w:leader="none"/>
      </w:tabs>
    </w:pPr>
    <w:rPr/>
  </w:style>
  <w:style w:type="paragraph" w:styleId="Footer">
    <w:name w:val="Footer"/>
    <w:basedOn w:val="Normal"/>
    <w:link w:val="FooterChar"/>
    <w:uiPriority w:val="99"/>
    <w:rsid w:val="007d02b4"/>
    <w:pPr>
      <w:tabs>
        <w:tab w:val="clear" w:pos="708"/>
        <w:tab w:val="center" w:pos="4677" w:leader="none"/>
        <w:tab w:val="right" w:pos="9355" w:leader="none"/>
      </w:tabs>
    </w:pPr>
    <w:rPr/>
  </w:style>
  <w:style w:type="paragraph" w:styleId="BalloonText">
    <w:name w:val="Balloon Text"/>
    <w:basedOn w:val="Normal"/>
    <w:semiHidden/>
    <w:qFormat/>
    <w:rsid w:val="000610b9"/>
    <w:pPr/>
    <w:rPr>
      <w:rFonts w:ascii="Tahoma" w:hAnsi="Tahoma" w:cs="Tahoma"/>
      <w:sz w:val="16"/>
      <w:szCs w:val="16"/>
    </w:rPr>
  </w:style>
  <w:style w:type="paragraph" w:styleId="DocumentMap">
    <w:name w:val="Document Map"/>
    <w:basedOn w:val="Normal"/>
    <w:semiHidden/>
    <w:qFormat/>
    <w:rsid w:val="006c6848"/>
    <w:pPr>
      <w:shd w:val="clear" w:color="auto" w:fill="000080"/>
    </w:pPr>
    <w:rPr>
      <w:rFonts w:ascii="Tahoma" w:hAnsi="Tahoma" w:cs="Tahoma"/>
      <w:sz w:val="20"/>
      <w:szCs w:val="20"/>
    </w:rPr>
  </w:style>
  <w:style w:type="paragraph" w:styleId="Naisf" w:customStyle="1">
    <w:name w:val="naisf"/>
    <w:basedOn w:val="Normal"/>
    <w:qFormat/>
    <w:rsid w:val="00ed5045"/>
    <w:pPr>
      <w:spacing w:before="65" w:after="65"/>
      <w:ind w:firstLine="324"/>
      <w:jc w:val="both"/>
    </w:pPr>
    <w:rPr>
      <w:lang w:val="ru-RU"/>
    </w:rPr>
  </w:style>
  <w:style w:type="paragraph" w:styleId="NormalWeb">
    <w:name w:val="Normal (Web)"/>
    <w:basedOn w:val="Normal"/>
    <w:qFormat/>
    <w:rsid w:val="00057353"/>
    <w:pPr>
      <w:spacing w:before="75" w:after="75"/>
      <w:ind w:firstLine="375"/>
      <w:jc w:val="both"/>
    </w:pPr>
    <w:rPr>
      <w:lang w:val="ru-RU"/>
    </w:rPr>
  </w:style>
  <w:style w:type="paragraph" w:styleId="BodyTextIndent2">
    <w:name w:val="Body Text Indent 2"/>
    <w:basedOn w:val="Normal"/>
    <w:qFormat/>
    <w:rsid w:val="00c8565c"/>
    <w:pPr>
      <w:ind w:firstLine="720"/>
      <w:jc w:val="both"/>
    </w:pPr>
    <w:rPr>
      <w:szCs w:val="20"/>
      <w:lang w:eastAsia="lv-LV"/>
    </w:rPr>
  </w:style>
  <w:style w:type="paragraph" w:styleId="Nais2" w:customStyle="1">
    <w:name w:val="nais2"/>
    <w:basedOn w:val="Normal"/>
    <w:qFormat/>
    <w:rsid w:val="00325536"/>
    <w:pPr>
      <w:spacing w:beforeAutospacing="1" w:afterAutospacing="1"/>
    </w:pPr>
    <w:rPr>
      <w:lang w:val="en-US" w:eastAsia="en-US"/>
    </w:rPr>
  </w:style>
  <w:style w:type="paragraph" w:styleId="Naislab" w:customStyle="1">
    <w:name w:val="naislab"/>
    <w:basedOn w:val="Normal"/>
    <w:qFormat/>
    <w:rsid w:val="0098767c"/>
    <w:pPr>
      <w:spacing w:before="75" w:after="75"/>
      <w:jc w:val="right"/>
    </w:pPr>
    <w:rPr>
      <w:lang w:eastAsia="lv-LV"/>
    </w:rPr>
  </w:style>
  <w:style w:type="paragraph" w:styleId="Naisc" w:customStyle="1">
    <w:name w:val="naisc"/>
    <w:basedOn w:val="Normal"/>
    <w:qFormat/>
    <w:rsid w:val="0098767c"/>
    <w:pPr>
      <w:spacing w:before="75" w:after="75"/>
      <w:jc w:val="center"/>
    </w:pPr>
    <w:rPr>
      <w:lang w:eastAsia="lv-LV"/>
    </w:rPr>
  </w:style>
  <w:style w:type="paragraph" w:styleId="Naiskr" w:customStyle="1">
    <w:name w:val="naiskr"/>
    <w:basedOn w:val="Normal"/>
    <w:qFormat/>
    <w:rsid w:val="0098767c"/>
    <w:pPr>
      <w:spacing w:before="75" w:after="75"/>
    </w:pPr>
    <w:rPr>
      <w:lang w:eastAsia="lv-LV"/>
    </w:rPr>
  </w:style>
  <w:style w:type="paragraph" w:styleId="BodyText2">
    <w:name w:val="Body Text 2"/>
    <w:basedOn w:val="Normal"/>
    <w:qFormat/>
    <w:rsid w:val="00d8460a"/>
    <w:pPr>
      <w:spacing w:lineRule="auto" w:line="480" w:before="0" w:after="120"/>
    </w:pPr>
    <w:rPr/>
  </w:style>
  <w:style w:type="paragraph" w:styleId="Style31" w:customStyle="1">
    <w:name w:val="Style3"/>
    <w:basedOn w:val="Normal"/>
    <w:qFormat/>
    <w:rsid w:val="00e035be"/>
    <w:pPr/>
    <w:rPr>
      <w:rFonts w:ascii="Arial" w:hAnsi="Arial"/>
      <w:sz w:val="22"/>
      <w:lang w:val="en-GB" w:eastAsia="en-US"/>
    </w:rPr>
  </w:style>
  <w:style w:type="paragraph" w:styleId="Teksts1" w:customStyle="1">
    <w:name w:val="Teksts1"/>
    <w:basedOn w:val="Normal"/>
    <w:qFormat/>
    <w:rsid w:val="00a931b7"/>
    <w:pPr>
      <w:spacing w:before="0" w:after="320"/>
      <w:jc w:val="both"/>
    </w:pPr>
    <w:rPr>
      <w:szCs w:val="20"/>
      <w:lang w:eastAsia="en-US"/>
    </w:rPr>
  </w:style>
  <w:style w:type="paragraph" w:styleId="HTMLPreformatted">
    <w:name w:val="HTML Preformatted"/>
    <w:basedOn w:val="Normal"/>
    <w:qFormat/>
    <w:rsid w:val="006825e6"/>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sz w:val="20"/>
      <w:szCs w:val="20"/>
      <w:lang w:eastAsia="lv-LV"/>
    </w:rPr>
  </w:style>
  <w:style w:type="paragraph" w:styleId="Title">
    <w:name w:val="Title"/>
    <w:basedOn w:val="Normal"/>
    <w:qFormat/>
    <w:rsid w:val="00e94692"/>
    <w:pPr>
      <w:jc w:val="center"/>
    </w:pPr>
    <w:rPr>
      <w:b/>
      <w:szCs w:val="20"/>
      <w:lang w:eastAsia="en-US"/>
    </w:rPr>
  </w:style>
  <w:style w:type="paragraph" w:styleId="Annotationtext">
    <w:name w:val="annotation text"/>
    <w:basedOn w:val="Normal"/>
    <w:link w:val="CommentTextChar"/>
    <w:qFormat/>
    <w:rsid w:val="00d12bc5"/>
    <w:pPr/>
    <w:rPr>
      <w:sz w:val="20"/>
      <w:szCs w:val="20"/>
    </w:rPr>
  </w:style>
  <w:style w:type="paragraph" w:styleId="Annotationsubject">
    <w:name w:val="annotation subject"/>
    <w:basedOn w:val="Annotationtext"/>
    <w:next w:val="Annotationtext"/>
    <w:semiHidden/>
    <w:qFormat/>
    <w:rsid w:val="00d12bc5"/>
    <w:pPr/>
    <w:rPr>
      <w:b/>
      <w:bCs/>
      <w:lang w:eastAsia="lv-LV"/>
    </w:rPr>
  </w:style>
  <w:style w:type="paragraph" w:styleId="Izdaltie" w:customStyle="1">
    <w:name w:val="Izdalītie"/>
    <w:basedOn w:val="Heading7"/>
    <w:link w:val="IzdaltieChar"/>
    <w:qFormat/>
    <w:rsid w:val="00932a79"/>
    <w:pPr>
      <w:spacing w:before="120" w:after="120"/>
      <w:jc w:val="both"/>
    </w:pPr>
    <w:rPr>
      <w:b/>
      <w:i/>
      <w:lang w:eastAsia="lv-LV"/>
    </w:rPr>
  </w:style>
  <w:style w:type="paragraph" w:styleId="Footnote">
    <w:name w:val="Footnote Text"/>
    <w:basedOn w:val="Normal"/>
    <w:semiHidden/>
    <w:rsid w:val="0094587d"/>
    <w:pPr/>
    <w:rPr>
      <w:sz w:val="20"/>
      <w:szCs w:val="20"/>
      <w:lang w:eastAsia="lv-LV"/>
    </w:rPr>
  </w:style>
  <w:style w:type="paragraph" w:styleId="TextBodyIndent">
    <w:name w:val="Body Text Indent"/>
    <w:basedOn w:val="Normal"/>
    <w:rsid w:val="0094587d"/>
    <w:pPr>
      <w:spacing w:before="0" w:after="120"/>
      <w:ind w:left="283" w:hanging="0"/>
    </w:pPr>
    <w:rPr>
      <w:lang w:eastAsia="lv-LV"/>
    </w:rPr>
  </w:style>
  <w:style w:type="paragraph" w:styleId="Naispant" w:customStyle="1">
    <w:name w:val="naispant"/>
    <w:basedOn w:val="Normal"/>
    <w:qFormat/>
    <w:rsid w:val="0094587d"/>
    <w:pPr>
      <w:spacing w:beforeAutospacing="1" w:afterAutospacing="1"/>
      <w:jc w:val="both"/>
    </w:pPr>
    <w:rPr>
      <w:rFonts w:eastAsia="Arial Unicode MS"/>
      <w:b/>
      <w:bCs/>
      <w:lang w:val="en-GB" w:eastAsia="en-US"/>
    </w:rPr>
  </w:style>
  <w:style w:type="paragraph" w:styleId="Teksts" w:customStyle="1">
    <w:name w:val="Teksts"/>
    <w:basedOn w:val="Normal"/>
    <w:link w:val="TekstsChar1"/>
    <w:autoRedefine/>
    <w:qFormat/>
    <w:rsid w:val="005d6a8e"/>
    <w:pPr>
      <w:ind w:firstLine="720"/>
      <w:jc w:val="both"/>
    </w:pPr>
    <w:rPr>
      <w:lang w:eastAsia="lv-LV"/>
    </w:rPr>
  </w:style>
  <w:style w:type="paragraph" w:styleId="Atkape" w:customStyle="1">
    <w:name w:val="atkape"/>
    <w:basedOn w:val="Teksts"/>
    <w:link w:val="atkapeChar"/>
    <w:autoRedefine/>
    <w:qFormat/>
    <w:rsid w:val="00245d00"/>
    <w:pPr>
      <w:spacing w:before="20" w:after="0"/>
      <w:ind w:hanging="0"/>
      <w:jc w:val="left"/>
    </w:pPr>
    <w:rPr/>
  </w:style>
  <w:style w:type="paragraph" w:styleId="Style17" w:customStyle="1">
    <w:name w:val="Style17"/>
    <w:basedOn w:val="Normal"/>
    <w:qFormat/>
    <w:rsid w:val="009436ca"/>
    <w:pPr>
      <w:widowControl w:val="false"/>
    </w:pPr>
    <w:rPr>
      <w:lang w:val="ru-RU"/>
    </w:rPr>
  </w:style>
  <w:style w:type="paragraph" w:styleId="Style27" w:customStyle="1">
    <w:name w:val="Style27"/>
    <w:basedOn w:val="Normal"/>
    <w:qFormat/>
    <w:rsid w:val="009436ca"/>
    <w:pPr>
      <w:widowControl w:val="false"/>
      <w:jc w:val="both"/>
    </w:pPr>
    <w:rPr>
      <w:lang w:val="ru-RU"/>
    </w:rPr>
  </w:style>
  <w:style w:type="paragraph" w:styleId="Style14" w:customStyle="1">
    <w:name w:val="Style14"/>
    <w:basedOn w:val="Normal"/>
    <w:qFormat/>
    <w:rsid w:val="009436ca"/>
    <w:pPr>
      <w:widowControl w:val="false"/>
      <w:spacing w:lineRule="exact" w:line="278"/>
      <w:jc w:val="both"/>
    </w:pPr>
    <w:rPr>
      <w:lang w:val="ru-RU"/>
    </w:rPr>
  </w:style>
  <w:style w:type="paragraph" w:styleId="Text" w:customStyle="1">
    <w:name w:val="Text"/>
    <w:basedOn w:val="Normal"/>
    <w:qFormat/>
    <w:rsid w:val="0065342a"/>
    <w:pPr>
      <w:spacing w:before="100" w:after="0"/>
      <w:ind w:firstLine="720"/>
      <w:jc w:val="both"/>
    </w:pPr>
    <w:rPr>
      <w:rFonts w:ascii="Verdana" w:hAnsi="Verdana"/>
      <w:sz w:val="16"/>
      <w:szCs w:val="16"/>
      <w:lang w:eastAsia="en-US"/>
    </w:rPr>
  </w:style>
  <w:style w:type="paragraph" w:styleId="ListParagraph">
    <w:name w:val="List Paragraph"/>
    <w:basedOn w:val="Normal"/>
    <w:link w:val="ListParagraphChar"/>
    <w:uiPriority w:val="34"/>
    <w:qFormat/>
    <w:rsid w:val="0041426e"/>
    <w:pPr>
      <w:spacing w:lineRule="auto" w:line="276" w:before="0" w:after="0"/>
      <w:ind w:left="720" w:hanging="0"/>
      <w:contextualSpacing/>
    </w:pPr>
    <w:rPr>
      <w:szCs w:val="22"/>
      <w:lang w:eastAsia="en-US"/>
    </w:rPr>
  </w:style>
  <w:style w:type="paragraph" w:styleId="TOCHeading">
    <w:name w:val="TOC Heading"/>
    <w:basedOn w:val="Heading1"/>
    <w:next w:val="Normal"/>
    <w:uiPriority w:val="39"/>
    <w:unhideWhenUsed/>
    <w:qFormat/>
    <w:rsid w:val="00917558"/>
    <w:pPr>
      <w:keepLines/>
      <w:spacing w:lineRule="auto" w:line="259" w:before="240" w:after="0"/>
      <w:jc w:val="left"/>
    </w:pPr>
    <w:rPr>
      <w:rFonts w:ascii="Calibri Light" w:hAnsi="Calibri Light" w:eastAsia="" w:cs="" w:asciiTheme="majorHAnsi" w:cstheme="majorBidi" w:eastAsiaTheme="majorEastAsia" w:hAnsiTheme="majorHAnsi"/>
      <w:b w:val="false"/>
      <w:bCs w:val="false"/>
      <w:color w:val="2E74B5" w:themeColor="accent1" w:themeShade="bf"/>
      <w:sz w:val="32"/>
      <w:szCs w:val="32"/>
      <w:lang w:eastAsia="lv-LV"/>
    </w:rPr>
  </w:style>
  <w:style w:type="paragraph" w:styleId="Contents1">
    <w:name w:val="TOC 1"/>
    <w:basedOn w:val="Normal"/>
    <w:next w:val="Normal"/>
    <w:autoRedefine/>
    <w:uiPriority w:val="39"/>
    <w:unhideWhenUsed/>
    <w:rsid w:val="00917558"/>
    <w:pPr>
      <w:spacing w:before="0" w:after="100"/>
    </w:pPr>
    <w:rPr/>
  </w:style>
  <w:style w:type="paragraph" w:styleId="Default" w:customStyle="1">
    <w:name w:val="Default"/>
    <w:qFormat/>
    <w:rsid w:val="00fc55c0"/>
    <w:pPr>
      <w:widowControl/>
      <w:bidi w:val="0"/>
      <w:jc w:val="left"/>
    </w:pPr>
    <w:rPr>
      <w:rFonts w:ascii="Arial" w:hAnsi="Arial" w:cs="Arial" w:eastAsia="Times New Roman"/>
      <w:color w:val="000000"/>
      <w:kern w:val="0"/>
      <w:sz w:val="24"/>
      <w:szCs w:val="24"/>
      <w:lang w:val="lv-LV" w:eastAsia="lv-LV"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rsid w:val="004c435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1C2C0-426D-474D-90D5-199930494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468</TotalTime>
  <Application>LibreOffice/6.3.3.2$Windows_X86_64 LibreOffice_project/a64200df03143b798afd1ec74a12ab50359878ed</Application>
  <Pages>8</Pages>
  <Words>2219</Words>
  <Characters>15984</Characters>
  <CharactersWithSpaces>18031</CharactersWithSpaces>
  <Paragraphs>153</Paragraphs>
  <Company>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2017-02-05T20:56:00Z</dcterms:created>
  <dc:creator>User</dc:creator>
  <dc:description/>
  <dc:language>lv-LV</dc:language>
  <cp:lastModifiedBy/>
  <cp:lastPrinted>2020-01-19T20:22:00Z</cp:lastPrinted>
  <dcterms:modified xsi:type="dcterms:W3CDTF">2020-01-20T09:02:19Z</dcterms:modified>
  <cp:revision>33</cp:revision>
  <dc:subject/>
  <dc:title>SIA „GLAMMA”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