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9401" w14:textId="77777777" w:rsidR="00374A03" w:rsidRPr="00DB3CF6" w:rsidRDefault="00374A03" w:rsidP="009407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196206320"/>
      <w:r w:rsidRPr="00DB3CF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1.pielikums</w:t>
      </w:r>
    </w:p>
    <w:p w14:paraId="3DF7CC12" w14:textId="77777777" w:rsidR="00374A03" w:rsidRPr="00DB3CF6" w:rsidRDefault="00374A03" w:rsidP="009407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01ECDD73" w14:textId="77777777" w:rsidR="0094072F" w:rsidRPr="00DB3CF6" w:rsidRDefault="0094072F" w:rsidP="009407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“Satiksmes organizācijas shēmas,</w:t>
      </w:r>
    </w:p>
    <w:p w14:paraId="76F83ED8" w14:textId="77777777" w:rsidR="0094072F" w:rsidRPr="00DB3CF6" w:rsidRDefault="0094072F" w:rsidP="009407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B3CF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skaidrojošā apraksta</w:t>
      </w:r>
      <w:r w:rsidRPr="00DB3CF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un </w:t>
      </w:r>
      <w:r w:rsidRPr="00DB3CF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darbu tāmes izstrāde</w:t>
      </w:r>
    </w:p>
    <w:p w14:paraId="2C8FDBE9" w14:textId="77777777" w:rsidR="0094072F" w:rsidRPr="00DB3CF6" w:rsidRDefault="0094072F" w:rsidP="009407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Balvu pilsētas Ezera ielas posmam</w:t>
      </w:r>
      <w:r w:rsidRPr="00DB3CF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”</w:t>
      </w:r>
    </w:p>
    <w:p w14:paraId="1E7595E9" w14:textId="46BFAEE6" w:rsidR="00374A03" w:rsidRPr="00DB3CF6" w:rsidRDefault="00374A03" w:rsidP="009407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DB3CF6" w:rsidRPr="00DB3CF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46</w:t>
      </w:r>
      <w:r w:rsidRPr="00DB3CF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2004BEE6" w14:textId="77777777" w:rsidR="00374A03" w:rsidRPr="00DB3CF6" w:rsidRDefault="00374A03" w:rsidP="009407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11C3A52" w14:textId="77777777" w:rsidR="00374A03" w:rsidRPr="00DB3CF6" w:rsidRDefault="00374A03" w:rsidP="009407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TEHNISKĀ SPECIFIKĀCIJA</w:t>
      </w:r>
    </w:p>
    <w:bookmarkEnd w:id="0"/>
    <w:p w14:paraId="62F6418A" w14:textId="77777777" w:rsidR="00374A03" w:rsidRPr="00DB3CF6" w:rsidRDefault="00374A03" w:rsidP="009407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C3D3EC0" w14:textId="77777777" w:rsidR="00374A03" w:rsidRPr="00DB3CF6" w:rsidRDefault="00374A03" w:rsidP="009407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PROJEKTĒŠANAS UZDEVUMS</w:t>
      </w:r>
    </w:p>
    <w:p w14:paraId="2794CA28" w14:textId="6D68CBC0" w:rsidR="0094072F" w:rsidRPr="00DB3CF6" w:rsidRDefault="00374A03" w:rsidP="009407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“</w:t>
      </w:r>
      <w:r w:rsidR="0094072F" w:rsidRPr="00DB3C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Satiksmes organizācijas shēmas, </w:t>
      </w:r>
      <w:r w:rsidR="0094072F" w:rsidRPr="00DB3CF6">
        <w:rPr>
          <w:rFonts w:asciiTheme="majorBidi" w:eastAsia="Times New Roman" w:hAnsiTheme="majorBidi" w:cstheme="majorBidi"/>
          <w:b/>
          <w:kern w:val="0"/>
          <w:sz w:val="24"/>
          <w:szCs w:val="24"/>
          <w:lang w:eastAsia="ar-SA"/>
          <w14:ligatures w14:val="none"/>
        </w:rPr>
        <w:t>skaidrojošā apraksta</w:t>
      </w:r>
      <w:r w:rsidR="0094072F" w:rsidRPr="00DB3C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un </w:t>
      </w:r>
      <w:r w:rsidR="0094072F" w:rsidRPr="00DB3CF6">
        <w:rPr>
          <w:rFonts w:asciiTheme="majorBidi" w:eastAsia="Times New Roman" w:hAnsiTheme="majorBidi" w:cstheme="majorBidi"/>
          <w:b/>
          <w:kern w:val="0"/>
          <w:sz w:val="24"/>
          <w:szCs w:val="24"/>
          <w:lang w:eastAsia="ar-SA"/>
          <w14:ligatures w14:val="none"/>
        </w:rPr>
        <w:t>darbu tāmes izstrāde</w:t>
      </w:r>
    </w:p>
    <w:p w14:paraId="4787B3C4" w14:textId="685D6ABA" w:rsidR="00374A03" w:rsidRPr="00DB3CF6" w:rsidRDefault="0094072F" w:rsidP="009407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Balvu pilsētas Ezera ielas posmam</w:t>
      </w:r>
      <w:r w:rsidRPr="00DB3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”</w:t>
      </w:r>
    </w:p>
    <w:p w14:paraId="3C08424A" w14:textId="77777777" w:rsidR="00374A03" w:rsidRPr="00DB3CF6" w:rsidRDefault="00374A03" w:rsidP="009407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3E3F3CA" w14:textId="78089D47" w:rsidR="00374A03" w:rsidRPr="00DB3CF6" w:rsidRDefault="00374A03" w:rsidP="009407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Projektēšanas uzdevuma mērķis:</w:t>
      </w:r>
      <w:r w:rsidRPr="00DB3C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sagatavot nepieciešamos dokumentus, lai organizētu satiksmes mierināšanas risinājumu ieviešanu</w:t>
      </w:r>
      <w:r w:rsidR="009C3D08" w:rsidRPr="00DB3C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Balvu pilsētas Ezera ielā</w:t>
      </w:r>
      <w:r w:rsidRPr="00DB3C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7B0C5D3A" w14:textId="77777777" w:rsidR="00374A03" w:rsidRPr="00DB3CF6" w:rsidRDefault="00374A03" w:rsidP="009407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46179E6" w14:textId="48CAE1C7" w:rsidR="00374A03" w:rsidRPr="00DB3CF6" w:rsidRDefault="00374A03" w:rsidP="009407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Projektēšanas uzdevums:</w:t>
      </w:r>
      <w:r w:rsidRPr="00DB3C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DB3C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satiksmes organizācijas shēmas, skaidrojošā apraksta un darbu tāmes izstrāde satiksmes mierināšanas risinājumam </w:t>
      </w:r>
      <w:r w:rsidR="00385C5F" w:rsidRPr="00DB3C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Balvu pilsētas Ezera ielā</w:t>
      </w:r>
      <w:r w:rsidRPr="00DB3C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, saskaņojot tās ar Balvu novada pašvaldības Zemes lietu un vides jautājumu komisiju</w:t>
      </w:r>
      <w:r w:rsidR="00A71ED3" w:rsidRPr="00DB3C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,</w:t>
      </w:r>
      <w:r w:rsidRPr="00DB3C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un iegūstot pozitīvu lēmumu par satiksmes organizācijas shēmu.</w:t>
      </w:r>
    </w:p>
    <w:p w14:paraId="4A8E41E6" w14:textId="77777777" w:rsidR="00374A03" w:rsidRPr="00DB3CF6" w:rsidRDefault="00374A03" w:rsidP="009407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E82EA1F" w14:textId="1EE67EFD" w:rsidR="00374A03" w:rsidRPr="0094072F" w:rsidRDefault="00374A03" w:rsidP="009407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Šajā dokumentā noteiktas v</w:t>
      </w:r>
      <w:r w:rsidR="00A71ED3" w:rsidRPr="00DB3C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ispārīgas prasības, kas dokumentu</w:t>
      </w:r>
      <w:r w:rsidRPr="00DB3C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izstrādes gaitā var tikt detalizētas un precizētas. Projektēšanas uzdevumā neaprakstītie jautājumi tiek risināti projektēšanas procesā, saskaņojot tos atsevišķi.</w:t>
      </w:r>
    </w:p>
    <w:p w14:paraId="0F5C91BD" w14:textId="77777777" w:rsidR="00374A03" w:rsidRPr="0094072F" w:rsidRDefault="00374A03" w:rsidP="009407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03"/>
        <w:gridCol w:w="2965"/>
        <w:gridCol w:w="5827"/>
      </w:tblGrid>
      <w:tr w:rsidR="00374A03" w:rsidRPr="0094072F" w14:paraId="156F0133" w14:textId="77777777" w:rsidTr="00E63C19"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6D4FB768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72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263BF004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72F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4739E32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72F">
              <w:rPr>
                <w:rFonts w:ascii="Times New Roman" w:hAnsi="Times New Roman"/>
                <w:b/>
                <w:bCs/>
                <w:sz w:val="24"/>
                <w:szCs w:val="24"/>
              </w:rPr>
              <w:t>Pozīcija</w:t>
            </w:r>
          </w:p>
        </w:tc>
        <w:tc>
          <w:tcPr>
            <w:tcW w:w="5827" w:type="dxa"/>
            <w:shd w:val="clear" w:color="auto" w:fill="D9D9D9" w:themeFill="background1" w:themeFillShade="D9"/>
            <w:vAlign w:val="center"/>
          </w:tcPr>
          <w:p w14:paraId="4288CEB6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72F">
              <w:rPr>
                <w:rFonts w:ascii="Times New Roman" w:hAnsi="Times New Roman"/>
                <w:b/>
                <w:bCs/>
                <w:sz w:val="24"/>
                <w:szCs w:val="24"/>
              </w:rPr>
              <w:t>Skaidrojums</w:t>
            </w:r>
          </w:p>
        </w:tc>
      </w:tr>
      <w:tr w:rsidR="00374A03" w:rsidRPr="0094072F" w14:paraId="7F2C8886" w14:textId="77777777" w:rsidTr="00E63C19">
        <w:tc>
          <w:tcPr>
            <w:tcW w:w="603" w:type="dxa"/>
            <w:vAlign w:val="center"/>
          </w:tcPr>
          <w:p w14:paraId="5E8DB646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5" w:type="dxa"/>
            <w:vAlign w:val="center"/>
          </w:tcPr>
          <w:p w14:paraId="7D9696D5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Projektējamā objekta nosaukums un adrese</w:t>
            </w:r>
          </w:p>
        </w:tc>
        <w:tc>
          <w:tcPr>
            <w:tcW w:w="5827" w:type="dxa"/>
            <w:vAlign w:val="center"/>
          </w:tcPr>
          <w:p w14:paraId="583EE037" w14:textId="113A7DEB" w:rsidR="00374A03" w:rsidRPr="00DB3CF6" w:rsidRDefault="009D1B79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Balvu pilsētas Ezera ielas posms</w:t>
            </w:r>
            <w:r w:rsidR="00F04A1E" w:rsidRPr="00DB3CF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A71ED3" w:rsidRPr="00DB3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4A03" w:rsidRPr="00DB3CF6">
              <w:rPr>
                <w:rFonts w:ascii="Times New Roman" w:hAnsi="Times New Roman"/>
                <w:sz w:val="24"/>
                <w:szCs w:val="24"/>
              </w:rPr>
              <w:t>no Ezera ielas 30 līdz Ezera ielai 42</w:t>
            </w:r>
          </w:p>
        </w:tc>
      </w:tr>
      <w:tr w:rsidR="00374A03" w:rsidRPr="0094072F" w14:paraId="379DB464" w14:textId="77777777" w:rsidTr="00E63C19">
        <w:tc>
          <w:tcPr>
            <w:tcW w:w="603" w:type="dxa"/>
            <w:vAlign w:val="center"/>
          </w:tcPr>
          <w:p w14:paraId="6A7E881E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5" w:type="dxa"/>
            <w:vAlign w:val="center"/>
          </w:tcPr>
          <w:p w14:paraId="1338E874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Pasūtītāja organizācijas nosaukums, adrese, tālrunis</w:t>
            </w:r>
          </w:p>
        </w:tc>
        <w:tc>
          <w:tcPr>
            <w:tcW w:w="5827" w:type="dxa"/>
            <w:vAlign w:val="center"/>
          </w:tcPr>
          <w:p w14:paraId="093A5FCB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Balvu novada pašvaldība</w:t>
            </w:r>
          </w:p>
          <w:p w14:paraId="1F79A452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Reģ.Nr.90009115622,</w:t>
            </w:r>
          </w:p>
          <w:p w14:paraId="18A1B2C3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Bērzpils iela 1A, Balvi, Balvu novads, LV-4501</w:t>
            </w:r>
          </w:p>
          <w:p w14:paraId="0E539592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Tālr.64522453</w:t>
            </w:r>
          </w:p>
        </w:tc>
      </w:tr>
      <w:tr w:rsidR="00374A03" w:rsidRPr="0094072F" w14:paraId="5166E47B" w14:textId="77777777" w:rsidTr="00E63C19">
        <w:tc>
          <w:tcPr>
            <w:tcW w:w="603" w:type="dxa"/>
            <w:vAlign w:val="center"/>
          </w:tcPr>
          <w:p w14:paraId="381E3C91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5" w:type="dxa"/>
            <w:vAlign w:val="center"/>
          </w:tcPr>
          <w:p w14:paraId="7B065127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Pasūtītāja atbildīgais pārstāvis</w:t>
            </w:r>
          </w:p>
        </w:tc>
        <w:tc>
          <w:tcPr>
            <w:tcW w:w="5827" w:type="dxa"/>
            <w:vAlign w:val="center"/>
          </w:tcPr>
          <w:p w14:paraId="10D41A04" w14:textId="77777777" w:rsidR="009D1B79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B</w:t>
            </w:r>
            <w:r w:rsidR="009D1B79">
              <w:rPr>
                <w:rFonts w:ascii="Times New Roman" w:hAnsi="Times New Roman"/>
                <w:sz w:val="24"/>
                <w:szCs w:val="24"/>
              </w:rPr>
              <w:t>alvu novada Centrālās pārvaldes</w:t>
            </w:r>
          </w:p>
          <w:p w14:paraId="6B30FD00" w14:textId="1C88DC51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Attīstības plānošanas nodaļas vadītājs Aleksandrs Sņegovs, mob.28673272</w:t>
            </w:r>
          </w:p>
        </w:tc>
      </w:tr>
      <w:tr w:rsidR="00374A03" w:rsidRPr="0094072F" w14:paraId="7C1D5DA4" w14:textId="77777777" w:rsidTr="00E63C19">
        <w:tc>
          <w:tcPr>
            <w:tcW w:w="603" w:type="dxa"/>
            <w:vAlign w:val="center"/>
          </w:tcPr>
          <w:p w14:paraId="735829B5" w14:textId="33F6C24D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5" w:type="dxa"/>
            <w:vAlign w:val="center"/>
          </w:tcPr>
          <w:p w14:paraId="1844FB98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Būvniecības veids</w:t>
            </w:r>
          </w:p>
        </w:tc>
        <w:tc>
          <w:tcPr>
            <w:tcW w:w="5827" w:type="dxa"/>
            <w:vAlign w:val="center"/>
          </w:tcPr>
          <w:p w14:paraId="2974ACFE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4A03" w:rsidRPr="0094072F" w14:paraId="74D76F61" w14:textId="77777777" w:rsidTr="00E63C19">
        <w:tc>
          <w:tcPr>
            <w:tcW w:w="603" w:type="dxa"/>
            <w:vAlign w:val="center"/>
          </w:tcPr>
          <w:p w14:paraId="0D9E66D3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5" w:type="dxa"/>
            <w:vAlign w:val="center"/>
          </w:tcPr>
          <w:p w14:paraId="10DB6514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Būves klasifikācija</w:t>
            </w:r>
          </w:p>
          <w:p w14:paraId="4BC15B20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(grupa, funkcija)</w:t>
            </w:r>
          </w:p>
        </w:tc>
        <w:tc>
          <w:tcPr>
            <w:tcW w:w="5827" w:type="dxa"/>
            <w:vAlign w:val="center"/>
          </w:tcPr>
          <w:p w14:paraId="53D1B091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2.grupas būve:</w:t>
            </w:r>
          </w:p>
          <w:p w14:paraId="2E6F91A1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- 2112 Ielas, ceļi un laukumi</w:t>
            </w:r>
          </w:p>
          <w:p w14:paraId="093296FF" w14:textId="0CD30677" w:rsidR="00374A03" w:rsidRPr="0094072F" w:rsidRDefault="00374A03" w:rsidP="00D02D3B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 xml:space="preserve">(Ministru kabineta </w:t>
            </w:r>
            <w:r w:rsidR="00D02D3B" w:rsidRPr="0094072F">
              <w:rPr>
                <w:rFonts w:ascii="Times New Roman" w:hAnsi="Times New Roman"/>
                <w:sz w:val="24"/>
                <w:szCs w:val="24"/>
              </w:rPr>
              <w:t xml:space="preserve">12.06.2018. </w:t>
            </w:r>
            <w:r w:rsidRPr="0094072F">
              <w:rPr>
                <w:rFonts w:ascii="Times New Roman" w:hAnsi="Times New Roman"/>
                <w:sz w:val="24"/>
                <w:szCs w:val="24"/>
              </w:rPr>
              <w:t>noteikumi Nr.326 “Būvju klasifikācijas noteikumi”).</w:t>
            </w:r>
          </w:p>
        </w:tc>
      </w:tr>
      <w:tr w:rsidR="00374A03" w:rsidRPr="0094072F" w14:paraId="7602696D" w14:textId="77777777" w:rsidTr="00E63C19">
        <w:tc>
          <w:tcPr>
            <w:tcW w:w="603" w:type="dxa"/>
            <w:vAlign w:val="center"/>
          </w:tcPr>
          <w:p w14:paraId="07D8C5AB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5" w:type="dxa"/>
            <w:vAlign w:val="center"/>
          </w:tcPr>
          <w:p w14:paraId="2223D41D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Projektēšanas uzdevuma mērķis un sasniedzamais rezultāts</w:t>
            </w:r>
          </w:p>
        </w:tc>
        <w:tc>
          <w:tcPr>
            <w:tcW w:w="5827" w:type="dxa"/>
            <w:vAlign w:val="center"/>
          </w:tcPr>
          <w:p w14:paraId="538D2FB4" w14:textId="6B79BF9B" w:rsidR="00374A03" w:rsidRPr="00DB3CF6" w:rsidRDefault="00374A03" w:rsidP="00D026CE">
            <w:pPr>
              <w:pStyle w:val="Sarakstarindkopa"/>
              <w:numPr>
                <w:ilvl w:val="0"/>
                <w:numId w:val="2"/>
              </w:numPr>
              <w:ind w:left="428" w:hanging="428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Izstrādāt satiksmes organizācijas shēmu, atbilstoši projektēšanas uzdevumam, spēkā esošajiem būvnormatīviem, vides pieejamības pras</w:t>
            </w:r>
            <w:r w:rsidR="00D026CE" w:rsidRPr="00DB3CF6">
              <w:rPr>
                <w:rFonts w:ascii="Times New Roman" w:hAnsi="Times New Roman"/>
                <w:sz w:val="24"/>
                <w:szCs w:val="24"/>
              </w:rPr>
              <w:t>ībām un ugunsdrošības prasībām.</w:t>
            </w:r>
          </w:p>
          <w:p w14:paraId="6BAEFB19" w14:textId="77777777" w:rsidR="00D026CE" w:rsidRPr="00DB3CF6" w:rsidRDefault="00374A03" w:rsidP="00D026CE">
            <w:pPr>
              <w:pStyle w:val="Sarakstarindkopa"/>
              <w:numPr>
                <w:ilvl w:val="0"/>
                <w:numId w:val="9"/>
              </w:numPr>
              <w:ind w:left="432" w:hanging="425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Nodrošināt normatīviem atbilstošu tehnisku un funkcionālu, estētiski kvalitatīvu risinājumu, kas atbilst Balvu novada teritorijas plānojumam</w:t>
            </w:r>
          </w:p>
          <w:p w14:paraId="6A6BFE0E" w14:textId="32E3D9D4" w:rsidR="00374A03" w:rsidRPr="00DB3CF6" w:rsidRDefault="00374A03" w:rsidP="00D026CE">
            <w:pPr>
              <w:pStyle w:val="Sarakstarindkopa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2012.–2023.gadam.</w:t>
            </w:r>
          </w:p>
          <w:p w14:paraId="4BFE4DFB" w14:textId="3B9D000D" w:rsidR="00374A03" w:rsidRPr="00DB3CF6" w:rsidRDefault="00374A03" w:rsidP="00D026CE">
            <w:pPr>
              <w:pStyle w:val="Sarakstarindkopa"/>
              <w:numPr>
                <w:ilvl w:val="0"/>
                <w:numId w:val="10"/>
              </w:numPr>
              <w:ind w:left="432" w:hanging="425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lastRenderedPageBreak/>
              <w:t>Sasniedzamais rezultāts –</w:t>
            </w:r>
            <w:r w:rsidR="00D026CE" w:rsidRPr="00DB3CF6">
              <w:rPr>
                <w:rFonts w:ascii="Times New Roman" w:hAnsi="Times New Roman"/>
                <w:sz w:val="24"/>
                <w:szCs w:val="24"/>
              </w:rPr>
              <w:t xml:space="preserve"> satiksmes organizācijas shēma, </w:t>
            </w:r>
            <w:r w:rsidR="00D026CE" w:rsidRPr="00DB3CF6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skaidrojošais apraksts</w:t>
            </w:r>
            <w:r w:rsidR="00D026CE" w:rsidRPr="00DB3CF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un </w:t>
            </w:r>
            <w:r w:rsidR="00D026CE" w:rsidRPr="00DB3CF6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darbu tāme.</w:t>
            </w:r>
          </w:p>
        </w:tc>
      </w:tr>
      <w:tr w:rsidR="00374A03" w:rsidRPr="0094072F" w14:paraId="618E73CE" w14:textId="77777777" w:rsidTr="00E63C19">
        <w:tc>
          <w:tcPr>
            <w:tcW w:w="603" w:type="dxa"/>
            <w:vAlign w:val="center"/>
          </w:tcPr>
          <w:p w14:paraId="5593733B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65" w:type="dxa"/>
            <w:vAlign w:val="center"/>
          </w:tcPr>
          <w:p w14:paraId="14B8895C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Prasības projektēšanai un vides pieejamībai</w:t>
            </w:r>
          </w:p>
        </w:tc>
        <w:tc>
          <w:tcPr>
            <w:tcW w:w="5827" w:type="dxa"/>
            <w:vAlign w:val="center"/>
          </w:tcPr>
          <w:p w14:paraId="067A499E" w14:textId="68DF4523" w:rsidR="00374A03" w:rsidRPr="00DB3CF6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Esošās situācijas raksturojums – asfaltētā ielas seguma platums ir robežās no 6,80 m līdz 7,60 m. Attiecīgajā ielas posmā</w:t>
            </w:r>
            <w:r w:rsidR="00D026CE" w:rsidRPr="00DB3CF6">
              <w:rPr>
                <w:rFonts w:ascii="Times New Roman" w:hAnsi="Times New Roman"/>
                <w:sz w:val="24"/>
                <w:szCs w:val="24"/>
              </w:rPr>
              <w:t>,</w:t>
            </w:r>
            <w:r w:rsidRPr="00DB3CF6">
              <w:rPr>
                <w:rFonts w:ascii="Times New Roman" w:hAnsi="Times New Roman"/>
                <w:sz w:val="24"/>
                <w:szCs w:val="24"/>
              </w:rPr>
              <w:t xml:space="preserve"> nav izbūvēts gājēju celiņš; gājēji pārvietojas pa ielas malu – pa zaļo zonu, kas atkarībā no laikapstākļiem kļūst dubļaina, ar peļķēm. Projektējamajā ielas posmā ir spēkā maksimālā atļautā braukšanas ātruma ierobežojums – 30 km/h.</w:t>
            </w:r>
          </w:p>
          <w:p w14:paraId="1C66F8E9" w14:textId="77777777" w:rsidR="00374A03" w:rsidRPr="00DB3CF6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67B333" w14:textId="1B324C81" w:rsidR="00374A03" w:rsidRPr="00DB3CF6" w:rsidRDefault="00374A03" w:rsidP="00D026CE">
            <w:pPr>
              <w:pStyle w:val="Sarakstarindkopa"/>
              <w:numPr>
                <w:ilvl w:val="0"/>
                <w:numId w:val="1"/>
              </w:numPr>
              <w:ind w:left="461" w:hanging="461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 xml:space="preserve">Sagatavot satiksmes organizācijas shēmu un darbu apjomu sarakstu </w:t>
            </w:r>
            <w:r w:rsidR="00E8440E" w:rsidRPr="00DB3CF6">
              <w:rPr>
                <w:rFonts w:ascii="Times New Roman" w:hAnsi="Times New Roman"/>
                <w:sz w:val="24"/>
                <w:szCs w:val="24"/>
              </w:rPr>
              <w:t xml:space="preserve">Balvu pilsētas </w:t>
            </w:r>
            <w:r w:rsidRPr="00DB3CF6">
              <w:rPr>
                <w:rFonts w:ascii="Times New Roman" w:hAnsi="Times New Roman"/>
                <w:sz w:val="24"/>
                <w:szCs w:val="24"/>
              </w:rPr>
              <w:t>Ezera ielas posma</w:t>
            </w:r>
            <w:r w:rsidR="00E8440E" w:rsidRPr="00DB3CF6">
              <w:rPr>
                <w:rFonts w:ascii="Times New Roman" w:hAnsi="Times New Roman"/>
                <w:sz w:val="24"/>
                <w:szCs w:val="24"/>
              </w:rPr>
              <w:t>m</w:t>
            </w:r>
            <w:r w:rsidR="00FB18D5" w:rsidRPr="00DB3CF6">
              <w:rPr>
                <w:rFonts w:ascii="Times New Roman" w:hAnsi="Times New Roman"/>
                <w:sz w:val="24"/>
                <w:szCs w:val="24"/>
              </w:rPr>
              <w:t xml:space="preserve"> ~ 170 m</w:t>
            </w:r>
            <w:r w:rsidRPr="00DB3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1CBC" w:rsidRPr="00DB3CF6">
              <w:rPr>
                <w:rFonts w:ascii="Times New Roman" w:hAnsi="Times New Roman"/>
                <w:sz w:val="24"/>
                <w:szCs w:val="24"/>
              </w:rPr>
              <w:t>(</w:t>
            </w:r>
            <w:r w:rsidRPr="00DB3CF6">
              <w:rPr>
                <w:rFonts w:ascii="Times New Roman" w:hAnsi="Times New Roman"/>
                <w:sz w:val="24"/>
                <w:szCs w:val="24"/>
              </w:rPr>
              <w:t>atbilstoši pielikumam</w:t>
            </w:r>
            <w:r w:rsidR="005B1CBC" w:rsidRPr="00DB3CF6">
              <w:rPr>
                <w:rFonts w:ascii="Times New Roman" w:hAnsi="Times New Roman"/>
                <w:sz w:val="24"/>
                <w:szCs w:val="24"/>
              </w:rPr>
              <w:t>)</w:t>
            </w:r>
            <w:r w:rsidRPr="00DB3C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5279FA" w14:textId="349E1BC6" w:rsidR="00374A03" w:rsidRPr="00DB3CF6" w:rsidRDefault="00374A03" w:rsidP="00D026CE">
            <w:pPr>
              <w:pStyle w:val="Sarakstarindkopa"/>
              <w:numPr>
                <w:ilvl w:val="0"/>
                <w:numId w:val="11"/>
              </w:numPr>
              <w:ind w:left="432" w:hanging="432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Nodrošināt s</w:t>
            </w:r>
            <w:r w:rsidR="00FB18D5" w:rsidRPr="00DB3CF6">
              <w:rPr>
                <w:rFonts w:ascii="Times New Roman" w:hAnsi="Times New Roman"/>
                <w:sz w:val="24"/>
                <w:szCs w:val="24"/>
              </w:rPr>
              <w:t xml:space="preserve">atiksmes organizāciju Balvu pilsētas </w:t>
            </w:r>
            <w:r w:rsidRPr="00DB3CF6">
              <w:rPr>
                <w:rFonts w:ascii="Times New Roman" w:hAnsi="Times New Roman"/>
                <w:sz w:val="24"/>
                <w:szCs w:val="24"/>
              </w:rPr>
              <w:t>Ezera ielas posmā (atbilstoši pielikumam), izmantojot horizontālos apzīmējumus un satiksmes organizācijas līdzekļus (ceļa norobežojošie stabiņi, puķu podi) ar mērķi nodalīt no transportlīdzekļu plūsmas drošu zonu, kur pārvietoties gājējiem.</w:t>
            </w:r>
          </w:p>
          <w:p w14:paraId="051E4C7B" w14:textId="77777777" w:rsidR="00374A03" w:rsidRPr="00DB3CF6" w:rsidRDefault="00374A03" w:rsidP="00D026CE">
            <w:pPr>
              <w:pStyle w:val="Sarakstarindkopa"/>
              <w:numPr>
                <w:ilvl w:val="0"/>
                <w:numId w:val="12"/>
              </w:numPr>
              <w:ind w:left="432" w:hanging="432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Izstrādājot satiksmes organizācijas shēmu, ņemt vērā sekojošas lietas:</w:t>
            </w:r>
          </w:p>
          <w:p w14:paraId="7668CA4B" w14:textId="77777777" w:rsidR="00374A03" w:rsidRPr="00DB3CF6" w:rsidRDefault="00374A03" w:rsidP="00D026CE">
            <w:pPr>
              <w:pStyle w:val="Sarakstarindkopa"/>
              <w:numPr>
                <w:ilvl w:val="0"/>
                <w:numId w:val="13"/>
              </w:numPr>
              <w:ind w:left="574" w:hanging="142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minētajā ielas posmā atrodas Valsts ugunsdzēsības un glābšanas dienesta depo, uzņēmējdarbības veicēji;</w:t>
            </w:r>
          </w:p>
          <w:p w14:paraId="2D25A79E" w14:textId="77777777" w:rsidR="00374A03" w:rsidRPr="00DB3CF6" w:rsidRDefault="00374A03" w:rsidP="00D026CE">
            <w:pPr>
              <w:pStyle w:val="Sarakstarindkopa"/>
              <w:numPr>
                <w:ilvl w:val="0"/>
                <w:numId w:val="13"/>
              </w:numPr>
              <w:ind w:left="574" w:hanging="142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jāizvērtē iespēja par vienvirziena satiksmes iespējamību;</w:t>
            </w:r>
          </w:p>
          <w:p w14:paraId="189C225B" w14:textId="77777777" w:rsidR="00374A03" w:rsidRPr="00DB3CF6" w:rsidRDefault="00374A03" w:rsidP="00D026CE">
            <w:pPr>
              <w:pStyle w:val="Sarakstarindkopa"/>
              <w:numPr>
                <w:ilvl w:val="0"/>
                <w:numId w:val="13"/>
              </w:numPr>
              <w:ind w:left="574" w:hanging="142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minētajā posmā atrodas veikala stāvlaukums;</w:t>
            </w:r>
          </w:p>
          <w:p w14:paraId="38DEBB40" w14:textId="429D0ADE" w:rsidR="00374A03" w:rsidRPr="00DB3CF6" w:rsidRDefault="00374A03" w:rsidP="00D026CE">
            <w:pPr>
              <w:pStyle w:val="Sarakstarindkopa"/>
              <w:numPr>
                <w:ilvl w:val="0"/>
                <w:numId w:val="13"/>
              </w:numPr>
              <w:ind w:left="574" w:hanging="142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posma beigās atrodas vairākas daudzdzīvokļu mājas</w:t>
            </w:r>
            <w:r w:rsidR="005B1CBC" w:rsidRPr="00DB3C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C256F2" w14:textId="67E8A56F" w:rsidR="00374A03" w:rsidRPr="00DB3CF6" w:rsidRDefault="005B1CBC" w:rsidP="00D026CE">
            <w:pPr>
              <w:pStyle w:val="Sarakstarindkopa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R</w:t>
            </w:r>
            <w:r w:rsidR="00374A03" w:rsidRPr="00DB3CF6">
              <w:rPr>
                <w:rFonts w:ascii="Times New Roman" w:hAnsi="Times New Roman"/>
                <w:sz w:val="24"/>
                <w:szCs w:val="24"/>
              </w:rPr>
              <w:t>isinājumiem jābūt funkcionāliem, estētiskiem un ekonomiski pamatotiem, vienlaicīgi</w:t>
            </w:r>
            <w:r w:rsidRPr="00DB3CF6">
              <w:rPr>
                <w:rFonts w:ascii="Times New Roman" w:hAnsi="Times New Roman"/>
                <w:sz w:val="24"/>
                <w:szCs w:val="24"/>
              </w:rPr>
              <w:t>,</w:t>
            </w:r>
            <w:r w:rsidR="00374A03" w:rsidRPr="00DB3CF6">
              <w:rPr>
                <w:rFonts w:ascii="Times New Roman" w:hAnsi="Times New Roman"/>
                <w:sz w:val="24"/>
                <w:szCs w:val="24"/>
              </w:rPr>
              <w:t xml:space="preserve"> nodrošinot atbilstību LR spēkā esošajiem būvnormatīviem un noteikumiem.</w:t>
            </w:r>
          </w:p>
        </w:tc>
      </w:tr>
      <w:tr w:rsidR="00374A03" w:rsidRPr="0094072F" w14:paraId="4ACD7174" w14:textId="77777777" w:rsidTr="00E63C19">
        <w:tc>
          <w:tcPr>
            <w:tcW w:w="603" w:type="dxa"/>
            <w:vAlign w:val="center"/>
          </w:tcPr>
          <w:p w14:paraId="30FD8346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65" w:type="dxa"/>
            <w:vAlign w:val="center"/>
          </w:tcPr>
          <w:p w14:paraId="08A1DB51" w14:textId="02F4BE15" w:rsidR="00AE7D86" w:rsidRPr="00AE7D86" w:rsidRDefault="00D859F2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Būvniecības ieceres dokumentācijas</w:t>
            </w:r>
            <w:r w:rsidR="00374A03" w:rsidRPr="00DB3CF6">
              <w:rPr>
                <w:rFonts w:ascii="Times New Roman" w:hAnsi="Times New Roman"/>
                <w:sz w:val="24"/>
                <w:szCs w:val="24"/>
              </w:rPr>
              <w:t xml:space="preserve"> plānotais sastāvs</w:t>
            </w:r>
          </w:p>
        </w:tc>
        <w:tc>
          <w:tcPr>
            <w:tcW w:w="5827" w:type="dxa"/>
            <w:vAlign w:val="center"/>
          </w:tcPr>
          <w:p w14:paraId="44675F75" w14:textId="715E458F" w:rsidR="00374A03" w:rsidRPr="0094072F" w:rsidRDefault="00AE7D86" w:rsidP="00D026CE">
            <w:pPr>
              <w:pStyle w:val="Sarakstarindkopa"/>
              <w:numPr>
                <w:ilvl w:val="0"/>
                <w:numId w:val="3"/>
              </w:numPr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Būvniecības ieceres d</w:t>
            </w:r>
            <w:r w:rsidR="00374A03" w:rsidRPr="0094072F">
              <w:rPr>
                <w:rFonts w:ascii="Times New Roman" w:hAnsi="Times New Roman"/>
                <w:sz w:val="24"/>
                <w:szCs w:val="24"/>
              </w:rPr>
              <w:t xml:space="preserve">okumentācija izstrādājama valsts valodā, saskaņā ar LR </w:t>
            </w:r>
            <w:r>
              <w:rPr>
                <w:rFonts w:ascii="Times New Roman" w:hAnsi="Times New Roman"/>
                <w:sz w:val="24"/>
                <w:szCs w:val="24"/>
              </w:rPr>
              <w:t>būvniecību regulējošiem</w:t>
            </w:r>
            <w:r w:rsidR="00374A03" w:rsidRPr="0094072F">
              <w:rPr>
                <w:rFonts w:ascii="Times New Roman" w:hAnsi="Times New Roman"/>
                <w:sz w:val="24"/>
                <w:szCs w:val="24"/>
              </w:rPr>
              <w:t xml:space="preserve"> normatīvajiem aktiem. Ja dokumentācijā tiek ietverta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informācija svešvalodā, </w:t>
            </w:r>
            <w:r w:rsidR="00374A03" w:rsidRPr="0094072F">
              <w:rPr>
                <w:rFonts w:ascii="Times New Roman" w:hAnsi="Times New Roman"/>
                <w:sz w:val="24"/>
                <w:szCs w:val="24"/>
              </w:rPr>
              <w:t>jāpievieno apliecināts tulkojums.</w:t>
            </w:r>
          </w:p>
          <w:p w14:paraId="7E6E5F19" w14:textId="74E6E716" w:rsidR="00AE7D86" w:rsidRPr="00AE7D86" w:rsidRDefault="00374A03" w:rsidP="00AE7D86">
            <w:pPr>
              <w:pStyle w:val="Sarakstarindkopa"/>
              <w:numPr>
                <w:ilvl w:val="0"/>
                <w:numId w:val="14"/>
              </w:numPr>
              <w:ind w:left="432" w:hanging="432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Izstrādāt darbu apjomu sarakstus un būvdarbu izmaksu tāmi</w:t>
            </w:r>
            <w:r w:rsidR="00AE7D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E7D86" w:rsidRPr="0094072F">
              <w:rPr>
                <w:rFonts w:ascii="Times New Roman" w:hAnsi="Times New Roman"/>
                <w:sz w:val="24"/>
                <w:szCs w:val="24"/>
              </w:rPr>
              <w:t>atbilstoši Latvijas būvnormatīvam LBN 501-17 “Būvizmaksu noteikšanas kārtība”.</w:t>
            </w:r>
          </w:p>
          <w:p w14:paraId="5FF087A5" w14:textId="05FA6015" w:rsidR="00374A03" w:rsidRPr="00AE7D86" w:rsidRDefault="00374A03" w:rsidP="00AE7D86">
            <w:pPr>
              <w:pStyle w:val="Sarakstarindkopa"/>
              <w:numPr>
                <w:ilvl w:val="1"/>
                <w:numId w:val="24"/>
              </w:numPr>
              <w:ind w:left="430" w:hanging="430"/>
              <w:rPr>
                <w:rFonts w:ascii="Times New Roman" w:hAnsi="Times New Roman"/>
                <w:sz w:val="24"/>
                <w:szCs w:val="24"/>
              </w:rPr>
            </w:pPr>
            <w:r w:rsidRPr="00AE7D86">
              <w:rPr>
                <w:rFonts w:ascii="Times New Roman" w:hAnsi="Times New Roman"/>
                <w:sz w:val="24"/>
                <w:szCs w:val="24"/>
              </w:rPr>
              <w:t>Tehniskā dokumentācija:</w:t>
            </w:r>
          </w:p>
          <w:p w14:paraId="2990BFAD" w14:textId="77777777" w:rsidR="00374A03" w:rsidRPr="0094072F" w:rsidRDefault="00374A03" w:rsidP="00D026CE">
            <w:pPr>
              <w:pStyle w:val="Sarakstarindkopa"/>
              <w:numPr>
                <w:ilvl w:val="0"/>
                <w:numId w:val="16"/>
              </w:numPr>
              <w:ind w:left="574" w:hanging="142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ģenerālplāns (GP);</w:t>
            </w:r>
          </w:p>
          <w:p w14:paraId="3116178E" w14:textId="77777777" w:rsidR="00374A03" w:rsidRPr="0094072F" w:rsidRDefault="00374A03" w:rsidP="00D026CE">
            <w:pPr>
              <w:pStyle w:val="Sarakstarindkopa"/>
              <w:numPr>
                <w:ilvl w:val="0"/>
                <w:numId w:val="16"/>
              </w:numPr>
              <w:ind w:left="574" w:hanging="142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skaidrojošais apraksts (SA);</w:t>
            </w:r>
          </w:p>
          <w:p w14:paraId="379275E8" w14:textId="77777777" w:rsidR="00374A03" w:rsidRPr="0094072F" w:rsidRDefault="00374A03" w:rsidP="00D026CE">
            <w:pPr>
              <w:pStyle w:val="Sarakstarindkopa"/>
              <w:numPr>
                <w:ilvl w:val="0"/>
                <w:numId w:val="16"/>
              </w:numPr>
              <w:ind w:left="574" w:hanging="142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būvdarbu apjomu saraksts (BA);</w:t>
            </w:r>
          </w:p>
          <w:p w14:paraId="1A19BAF9" w14:textId="237F6359" w:rsidR="00374A03" w:rsidRPr="00300348" w:rsidRDefault="00374A03" w:rsidP="00D026CE">
            <w:pPr>
              <w:pStyle w:val="Sarakstarindkopa"/>
              <w:numPr>
                <w:ilvl w:val="0"/>
                <w:numId w:val="16"/>
              </w:numPr>
              <w:ind w:left="574" w:hanging="142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izmaksu aprēķins (T).</w:t>
            </w:r>
          </w:p>
          <w:p w14:paraId="68269016" w14:textId="77777777" w:rsidR="00374A03" w:rsidRPr="0094072F" w:rsidRDefault="00374A03" w:rsidP="00D026CE">
            <w:pPr>
              <w:pStyle w:val="Sarakstarindkopa"/>
              <w:numPr>
                <w:ilvl w:val="0"/>
                <w:numId w:val="4"/>
              </w:numPr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Dokumentācijas eksemplāru skaits:</w:t>
            </w:r>
          </w:p>
          <w:p w14:paraId="2A728D96" w14:textId="77777777" w:rsidR="00374A03" w:rsidRPr="0094072F" w:rsidRDefault="00374A03" w:rsidP="00D026CE">
            <w:pPr>
              <w:pStyle w:val="Sarakstarindkopa"/>
              <w:numPr>
                <w:ilvl w:val="0"/>
                <w:numId w:val="5"/>
              </w:numPr>
              <w:ind w:left="716" w:hanging="709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pasūtītājam nododams 1 eksemplārs papīra formā;</w:t>
            </w:r>
          </w:p>
          <w:p w14:paraId="07AE750F" w14:textId="77777777" w:rsidR="00374A03" w:rsidRPr="0094072F" w:rsidRDefault="00374A03" w:rsidP="00D026CE">
            <w:pPr>
              <w:pStyle w:val="Sarakstarindkopa"/>
              <w:numPr>
                <w:ilvl w:val="0"/>
                <w:numId w:val="17"/>
              </w:numPr>
              <w:ind w:left="716" w:hanging="709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 xml:space="preserve">skaidrojošais apraksts </w:t>
            </w:r>
            <w:r w:rsidRPr="00940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MS Word, </w:t>
            </w:r>
            <w:r w:rsidRPr="0094072F">
              <w:rPr>
                <w:rFonts w:ascii="Times New Roman" w:hAnsi="Times New Roman"/>
                <w:sz w:val="24"/>
                <w:szCs w:val="24"/>
              </w:rPr>
              <w:t xml:space="preserve">būvdarbu apjomi </w:t>
            </w:r>
            <w:r w:rsidRPr="00940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MS Excel </w:t>
            </w:r>
            <w:r w:rsidRPr="0094072F">
              <w:rPr>
                <w:rFonts w:ascii="Times New Roman" w:hAnsi="Times New Roman"/>
                <w:sz w:val="24"/>
                <w:szCs w:val="24"/>
              </w:rPr>
              <w:t xml:space="preserve">un rasējumi </w:t>
            </w:r>
            <w:r w:rsidRPr="00940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.dwg </w:t>
            </w:r>
            <w:r w:rsidRPr="0094072F">
              <w:rPr>
                <w:rFonts w:ascii="Times New Roman" w:hAnsi="Times New Roman"/>
                <w:sz w:val="24"/>
                <w:szCs w:val="24"/>
              </w:rPr>
              <w:t>formātā, saskaņā ar LBN prasībām.</w:t>
            </w:r>
          </w:p>
        </w:tc>
      </w:tr>
      <w:tr w:rsidR="00374A03" w:rsidRPr="0094072F" w14:paraId="2199B381" w14:textId="77777777" w:rsidTr="00E63C19">
        <w:tc>
          <w:tcPr>
            <w:tcW w:w="603" w:type="dxa"/>
            <w:vAlign w:val="center"/>
          </w:tcPr>
          <w:p w14:paraId="4686410A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65" w:type="dxa"/>
            <w:vAlign w:val="center"/>
          </w:tcPr>
          <w:p w14:paraId="2779E491" w14:textId="78D3E8D6" w:rsidR="00D859F2" w:rsidRPr="00D859F2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D859F2">
              <w:rPr>
                <w:rFonts w:ascii="Times New Roman" w:hAnsi="Times New Roman"/>
                <w:sz w:val="24"/>
                <w:szCs w:val="24"/>
              </w:rPr>
              <w:t>Īpašie nosacījumi satiksmes organizācijas shēmas izstrādei</w:t>
            </w:r>
          </w:p>
        </w:tc>
        <w:tc>
          <w:tcPr>
            <w:tcW w:w="5827" w:type="dxa"/>
            <w:vAlign w:val="center"/>
          </w:tcPr>
          <w:p w14:paraId="0A42508B" w14:textId="629EE39D" w:rsidR="00374A03" w:rsidRPr="00D859F2" w:rsidRDefault="00374A03" w:rsidP="00D026CE">
            <w:pPr>
              <w:pStyle w:val="Sarakstarindkopa"/>
              <w:numPr>
                <w:ilvl w:val="0"/>
                <w:numId w:val="15"/>
              </w:numPr>
              <w:ind w:left="427" w:hanging="427"/>
              <w:rPr>
                <w:rFonts w:ascii="Times New Roman" w:hAnsi="Times New Roman"/>
                <w:sz w:val="24"/>
                <w:szCs w:val="24"/>
              </w:rPr>
            </w:pPr>
            <w:r w:rsidRPr="00D859F2">
              <w:rPr>
                <w:rFonts w:ascii="Times New Roman" w:hAnsi="Times New Roman"/>
                <w:sz w:val="24"/>
                <w:szCs w:val="24"/>
              </w:rPr>
              <w:t>Satiksmes organizācijas shēmas izstrādes laikā</w:t>
            </w:r>
            <w:r w:rsidR="00D859F2" w:rsidRPr="00D859F2">
              <w:rPr>
                <w:rFonts w:ascii="Times New Roman" w:hAnsi="Times New Roman"/>
                <w:sz w:val="24"/>
                <w:szCs w:val="24"/>
              </w:rPr>
              <w:t>,</w:t>
            </w:r>
            <w:r w:rsidRPr="00D859F2">
              <w:rPr>
                <w:rFonts w:ascii="Times New Roman" w:hAnsi="Times New Roman"/>
                <w:sz w:val="24"/>
                <w:szCs w:val="24"/>
              </w:rPr>
              <w:t xml:space="preserve"> risinājumus saskaņot ar pasūtītāju. Piedāvātajiem būvdarbu un turpmākās uzturēšanas risinājumiem ir jābūt maksimāli ekonomiskiem.</w:t>
            </w:r>
          </w:p>
          <w:p w14:paraId="2D188B03" w14:textId="77777777" w:rsidR="00374A03" w:rsidRPr="00D859F2" w:rsidRDefault="00374A03" w:rsidP="00D026CE">
            <w:pPr>
              <w:pStyle w:val="Sarakstarindkopa"/>
              <w:numPr>
                <w:ilvl w:val="0"/>
                <w:numId w:val="6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  <w:r w:rsidRPr="00D859F2">
              <w:rPr>
                <w:rFonts w:ascii="Times New Roman" w:hAnsi="Times New Roman"/>
                <w:sz w:val="24"/>
                <w:szCs w:val="24"/>
              </w:rPr>
              <w:t>Dokumentācijas izstrādes gaitā var tikt precizēti projektēšanas uzdevuma nosacījumi.</w:t>
            </w:r>
          </w:p>
        </w:tc>
      </w:tr>
      <w:tr w:rsidR="00374A03" w:rsidRPr="0094072F" w14:paraId="711FD4E6" w14:textId="77777777" w:rsidTr="00E63C19">
        <w:tc>
          <w:tcPr>
            <w:tcW w:w="603" w:type="dxa"/>
            <w:vAlign w:val="center"/>
          </w:tcPr>
          <w:p w14:paraId="2088254C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65" w:type="dxa"/>
            <w:vAlign w:val="center"/>
          </w:tcPr>
          <w:p w14:paraId="220B8863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Vispārīgās prasības paskaidrojuma izstrādei</w:t>
            </w:r>
          </w:p>
        </w:tc>
        <w:tc>
          <w:tcPr>
            <w:tcW w:w="5827" w:type="dxa"/>
            <w:vAlign w:val="center"/>
          </w:tcPr>
          <w:p w14:paraId="2F7C0526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Izpildītājam:</w:t>
            </w:r>
          </w:p>
          <w:p w14:paraId="43DE4BB6" w14:textId="77777777" w:rsidR="00374A03" w:rsidRPr="0094072F" w:rsidRDefault="00374A03" w:rsidP="00D026CE">
            <w:pPr>
              <w:pStyle w:val="Sarakstarindkopa"/>
              <w:numPr>
                <w:ilvl w:val="0"/>
                <w:numId w:val="18"/>
              </w:numPr>
              <w:ind w:left="569" w:hanging="569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pirms tehniskās dokumentācijas izstrādes uzsākšanas, kopīgi ar pasūtītāju veikt objekta apsekošanu un izpēti dabā, lai nodrošinātu nepieciešamās informācijas apjoma iegūšanu. Apsekojuma rezultātus iekļaut tehniskās dokumentācijas sastāvā;</w:t>
            </w:r>
          </w:p>
          <w:p w14:paraId="420B54D7" w14:textId="77777777" w:rsidR="00374A03" w:rsidRPr="0094072F" w:rsidRDefault="00374A03" w:rsidP="00D026CE">
            <w:pPr>
              <w:pStyle w:val="Sarakstarindkopa"/>
              <w:numPr>
                <w:ilvl w:val="0"/>
                <w:numId w:val="7"/>
              </w:numPr>
              <w:ind w:left="569" w:hanging="569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veikt tehniskās dokumentācijas saskaņošanu ar visām ieinteresētajām institūcijām;</w:t>
            </w:r>
          </w:p>
          <w:p w14:paraId="47C2A022" w14:textId="77777777" w:rsidR="00374A03" w:rsidRPr="0094072F" w:rsidRDefault="00374A03" w:rsidP="00D026CE">
            <w:pPr>
              <w:pStyle w:val="Sarakstarindkopa"/>
              <w:numPr>
                <w:ilvl w:val="0"/>
                <w:numId w:val="19"/>
              </w:numPr>
              <w:ind w:left="569" w:hanging="569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tehniskā dokumentācija jāizstrādā tādā detalizācijas pakāpē, lai sekmīgi veiktu satiksmes organizācijas izmaiņas;</w:t>
            </w:r>
          </w:p>
          <w:p w14:paraId="10862500" w14:textId="77777777" w:rsidR="00374A03" w:rsidRPr="0094072F" w:rsidRDefault="00374A03" w:rsidP="00D026CE">
            <w:pPr>
              <w:pStyle w:val="Sarakstarindkopa"/>
              <w:numPr>
                <w:ilvl w:val="0"/>
                <w:numId w:val="8"/>
              </w:numPr>
              <w:ind w:left="569" w:hanging="567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tehniskā dokumentācija jāsaskaņo ar pašvaldības pārstāvi;</w:t>
            </w:r>
          </w:p>
          <w:p w14:paraId="05463304" w14:textId="77777777" w:rsidR="00374A03" w:rsidRPr="0094072F" w:rsidRDefault="00374A03" w:rsidP="00D026CE">
            <w:pPr>
              <w:pStyle w:val="Sarakstarindkopa"/>
              <w:numPr>
                <w:ilvl w:val="0"/>
                <w:numId w:val="20"/>
              </w:numPr>
              <w:ind w:left="569" w:hanging="569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risinājumi jāsaskaņo ar inženiertīklu īpašniekiem, Valsts ugunsdzēsības un glābšanas dienesta depo.</w:t>
            </w:r>
          </w:p>
        </w:tc>
      </w:tr>
      <w:tr w:rsidR="00374A03" w:rsidRPr="0094072F" w14:paraId="52C94F8F" w14:textId="77777777" w:rsidTr="00E63C19">
        <w:tc>
          <w:tcPr>
            <w:tcW w:w="603" w:type="dxa"/>
            <w:vAlign w:val="center"/>
          </w:tcPr>
          <w:p w14:paraId="6D378173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65" w:type="dxa"/>
            <w:vAlign w:val="center"/>
          </w:tcPr>
          <w:p w14:paraId="056E0966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Dati un dokumenti, ko izsniedz pasūtītājs</w:t>
            </w:r>
          </w:p>
        </w:tc>
        <w:tc>
          <w:tcPr>
            <w:tcW w:w="5827" w:type="dxa"/>
            <w:vAlign w:val="center"/>
          </w:tcPr>
          <w:p w14:paraId="696B41D4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4A03" w:rsidRPr="0094072F" w14:paraId="7485EF24" w14:textId="77777777" w:rsidTr="00E63C19">
        <w:tc>
          <w:tcPr>
            <w:tcW w:w="603" w:type="dxa"/>
            <w:vAlign w:val="center"/>
          </w:tcPr>
          <w:p w14:paraId="0FFE1039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65" w:type="dxa"/>
            <w:vAlign w:val="center"/>
          </w:tcPr>
          <w:p w14:paraId="2C3413E0" w14:textId="77777777" w:rsidR="00D859F2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Ģeoloģiskā izpēte,</w:t>
            </w:r>
          </w:p>
          <w:p w14:paraId="27C5E435" w14:textId="64EB52F6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tehniskā izpēte</w:t>
            </w:r>
          </w:p>
        </w:tc>
        <w:tc>
          <w:tcPr>
            <w:tcW w:w="5827" w:type="dxa"/>
            <w:vAlign w:val="center"/>
          </w:tcPr>
          <w:p w14:paraId="6DD08B89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4A03" w:rsidRPr="0094072F" w14:paraId="17F561BD" w14:textId="77777777" w:rsidTr="00E63C19">
        <w:tc>
          <w:tcPr>
            <w:tcW w:w="603" w:type="dxa"/>
            <w:vAlign w:val="center"/>
          </w:tcPr>
          <w:p w14:paraId="51343954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65" w:type="dxa"/>
            <w:vAlign w:val="center"/>
          </w:tcPr>
          <w:p w14:paraId="5B883217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Satiksmes organizācijas shēmas izstrādes termiņš</w:t>
            </w:r>
          </w:p>
        </w:tc>
        <w:tc>
          <w:tcPr>
            <w:tcW w:w="5827" w:type="dxa"/>
            <w:vAlign w:val="center"/>
          </w:tcPr>
          <w:p w14:paraId="12F68FC0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2 mēnešu laikā no līguma noslēgšanas</w:t>
            </w:r>
          </w:p>
        </w:tc>
      </w:tr>
      <w:tr w:rsidR="00374A03" w:rsidRPr="0094072F" w14:paraId="788B27CC" w14:textId="77777777" w:rsidTr="00E63C19">
        <w:tc>
          <w:tcPr>
            <w:tcW w:w="603" w:type="dxa"/>
            <w:vAlign w:val="center"/>
          </w:tcPr>
          <w:p w14:paraId="3BB350D9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65" w:type="dxa"/>
            <w:vAlign w:val="center"/>
          </w:tcPr>
          <w:p w14:paraId="69316FB8" w14:textId="77777777" w:rsidR="00374A03" w:rsidRPr="0094072F" w:rsidRDefault="00374A03" w:rsidP="00D026CE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Prasības autoruzraudzībai</w:t>
            </w:r>
          </w:p>
        </w:tc>
        <w:tc>
          <w:tcPr>
            <w:tcW w:w="5827" w:type="dxa"/>
            <w:vAlign w:val="center"/>
          </w:tcPr>
          <w:p w14:paraId="2897CC59" w14:textId="0C5A077A" w:rsidR="00374A03" w:rsidRPr="00DB3CF6" w:rsidRDefault="00D859F2" w:rsidP="00D026CE">
            <w:pPr>
              <w:pStyle w:val="Sarakstarindkopa"/>
              <w:numPr>
                <w:ilvl w:val="1"/>
                <w:numId w:val="21"/>
              </w:numPr>
              <w:ind w:left="576" w:hanging="576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 xml:space="preserve">Paredzēt būvniecības ieceres </w:t>
            </w:r>
            <w:r w:rsidR="00374A03" w:rsidRPr="00DB3CF6">
              <w:rPr>
                <w:rFonts w:ascii="Times New Roman" w:hAnsi="Times New Roman"/>
                <w:sz w:val="24"/>
                <w:szCs w:val="24"/>
              </w:rPr>
              <w:t>realizācijas autoruzraudzību atbilstoši MK noteikumu Nr.500 “Vispārīgie būvnoteikumi” prasībām.</w:t>
            </w:r>
          </w:p>
          <w:p w14:paraId="62873863" w14:textId="77777777" w:rsidR="00374A03" w:rsidRPr="00DB3CF6" w:rsidRDefault="00374A03" w:rsidP="00D026CE">
            <w:pPr>
              <w:pStyle w:val="Sarakstarindkopa"/>
              <w:numPr>
                <w:ilvl w:val="1"/>
                <w:numId w:val="21"/>
              </w:numPr>
              <w:ind w:left="576" w:hanging="576"/>
              <w:rPr>
                <w:rFonts w:ascii="Times New Roman" w:hAnsi="Times New Roman"/>
                <w:sz w:val="24"/>
                <w:szCs w:val="24"/>
              </w:rPr>
            </w:pPr>
            <w:r w:rsidRPr="00DB3CF6">
              <w:rPr>
                <w:rFonts w:ascii="Times New Roman" w:hAnsi="Times New Roman"/>
                <w:sz w:val="24"/>
                <w:szCs w:val="24"/>
              </w:rPr>
              <w:t>Plānotais autoruzraudzības sākums – 2025.gads.</w:t>
            </w:r>
          </w:p>
        </w:tc>
      </w:tr>
      <w:tr w:rsidR="00374A03" w:rsidRPr="0094072F" w14:paraId="27473455" w14:textId="77777777" w:rsidTr="00E63C19">
        <w:tc>
          <w:tcPr>
            <w:tcW w:w="603" w:type="dxa"/>
            <w:vAlign w:val="center"/>
          </w:tcPr>
          <w:p w14:paraId="0D82A44A" w14:textId="77777777" w:rsidR="00374A03" w:rsidRPr="0094072F" w:rsidRDefault="00374A03" w:rsidP="0094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65" w:type="dxa"/>
            <w:vAlign w:val="center"/>
          </w:tcPr>
          <w:p w14:paraId="67E56301" w14:textId="77777777" w:rsidR="00374A03" w:rsidRPr="0094072F" w:rsidRDefault="00374A03" w:rsidP="0094072F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Projektēšanas uzdevumam pievienotie dokumenti</w:t>
            </w:r>
          </w:p>
        </w:tc>
        <w:tc>
          <w:tcPr>
            <w:tcW w:w="5827" w:type="dxa"/>
            <w:vAlign w:val="center"/>
          </w:tcPr>
          <w:p w14:paraId="6613F913" w14:textId="77777777" w:rsidR="00374A03" w:rsidRPr="0094072F" w:rsidRDefault="00374A03" w:rsidP="0094072F">
            <w:pPr>
              <w:rPr>
                <w:rFonts w:ascii="Times New Roman" w:hAnsi="Times New Roman"/>
                <w:sz w:val="24"/>
                <w:szCs w:val="24"/>
              </w:rPr>
            </w:pPr>
            <w:r w:rsidRPr="0094072F">
              <w:rPr>
                <w:rFonts w:ascii="Times New Roman" w:hAnsi="Times New Roman"/>
                <w:sz w:val="24"/>
                <w:szCs w:val="24"/>
              </w:rPr>
              <w:t>Pielikums – Potenciālā satiksmes organizācijas shēma</w:t>
            </w:r>
          </w:p>
        </w:tc>
      </w:tr>
    </w:tbl>
    <w:p w14:paraId="4B4A3766" w14:textId="77777777" w:rsidR="00FC54E6" w:rsidRPr="0094072F" w:rsidRDefault="00FC54E6" w:rsidP="0094072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56EF51" w14:textId="77777777" w:rsidR="002D1C27" w:rsidRPr="0094072F" w:rsidRDefault="00000000" w:rsidP="0094072F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SimSun" w:hAnsi="Times New Roman" w:cs="Times New Roman"/>
            <w:kern w:val="0"/>
            <w:sz w:val="28"/>
            <w:szCs w:val="28"/>
            <w:lang w:eastAsia="ar-SA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C27" w:rsidRPr="0094072F">
            <w:rPr>
              <w:rFonts w:ascii="Segoe UI Symbol" w:eastAsia="MS Gothic" w:hAnsi="Segoe UI Symbol" w:cs="Segoe UI Symbol"/>
              <w:kern w:val="0"/>
              <w:sz w:val="28"/>
              <w:szCs w:val="28"/>
              <w:lang w:eastAsia="ar-SA"/>
              <w14:ligatures w14:val="none"/>
            </w:rPr>
            <w:t>☐</w:t>
          </w:r>
        </w:sdtContent>
      </w:sdt>
      <w:r w:rsidR="002D1C27" w:rsidRPr="0094072F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2D1C27" w:rsidRPr="0094072F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(</w:t>
      </w:r>
      <w:r w:rsidR="002D1C27" w:rsidRPr="0094072F">
        <w:rPr>
          <w:rFonts w:ascii="Times New Roman" w:eastAsia="SimSun" w:hAnsi="Times New Roman" w:cs="Times New Roman"/>
          <w:i/>
          <w:iCs/>
          <w:color w:val="000000"/>
          <w:kern w:val="0"/>
          <w:sz w:val="20"/>
          <w:szCs w:val="20"/>
          <w:lang w:eastAsia="ar-SA"/>
          <w14:ligatures w14:val="none"/>
        </w:rPr>
        <w:t>atzīmē, ja piekrīt</w:t>
      </w:r>
      <w:r w:rsidR="002D1C27" w:rsidRPr="0094072F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)</w:t>
      </w:r>
      <w:r w:rsidR="002D1C27" w:rsidRPr="0094072F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2D1C27" w:rsidRPr="0094072F">
        <w:rPr>
          <w:rFonts w:ascii="Times New Roman" w:eastAsia="SimSu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Pretendents apliecina, ka apņemas izpildīt pasūtītāja Tehniskajā specifikācijā noteiktās prasības.</w:t>
      </w:r>
    </w:p>
    <w:p w14:paraId="55E4EE8D" w14:textId="77777777" w:rsidR="002D1C27" w:rsidRPr="0094072F" w:rsidRDefault="002D1C27" w:rsidP="0094072F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FDFD0D4" w14:textId="77777777" w:rsidR="002D1C27" w:rsidRPr="0094072F" w:rsidRDefault="002D1C27" w:rsidP="0094072F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162BC6F2" w14:textId="76BD4BC0" w:rsidR="002D1C27" w:rsidRPr="0094072F" w:rsidRDefault="002D1C27" w:rsidP="0094072F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94072F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Amats, vārds uzvārds, paraksts</w:t>
      </w:r>
      <w:r w:rsidRPr="0094072F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  <w:r w:rsidRPr="0094072F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______________</w:t>
      </w:r>
    </w:p>
    <w:p w14:paraId="0CF80CD7" w14:textId="77777777" w:rsidR="00900C1C" w:rsidRPr="0094072F" w:rsidRDefault="00900C1C" w:rsidP="00A67BC1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2F5F037" w14:textId="77777777" w:rsidR="00A67BC1" w:rsidRDefault="00A67BC1" w:rsidP="00A67B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 w:type="page"/>
      </w:r>
    </w:p>
    <w:p w14:paraId="305053A9" w14:textId="6960003C" w:rsidR="0082735F" w:rsidRPr="0094072F" w:rsidRDefault="0082735F" w:rsidP="009407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407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Pielikums</w:t>
      </w:r>
    </w:p>
    <w:p w14:paraId="14A63810" w14:textId="77777777" w:rsidR="0082735F" w:rsidRPr="0094072F" w:rsidRDefault="0082735F" w:rsidP="009407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B3CF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Projektēšanas uzdevumam</w:t>
      </w:r>
    </w:p>
    <w:p w14:paraId="7146E4F0" w14:textId="77777777" w:rsidR="0082735F" w:rsidRPr="0094072F" w:rsidRDefault="0082735F" w:rsidP="009407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BDF4F2C" w14:textId="663843E1" w:rsidR="00900C1C" w:rsidRPr="0094072F" w:rsidRDefault="0082735F" w:rsidP="0094072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940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Potenciālā satiksmes organizācijas shēma</w:t>
      </w:r>
    </w:p>
    <w:p w14:paraId="2FC6A9F4" w14:textId="77777777" w:rsidR="0082735F" w:rsidRPr="00A67BC1" w:rsidRDefault="0082735F" w:rsidP="0094072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13A8D4B9" w14:textId="4931F083" w:rsidR="0082735F" w:rsidRPr="0094072F" w:rsidRDefault="0082735F" w:rsidP="0094072F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noProof/>
        </w:rPr>
      </w:pPr>
      <w:r w:rsidRPr="0094072F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C49FB09" wp14:editId="7D304BED">
            <wp:extent cx="5274310" cy="2044700"/>
            <wp:effectExtent l="0" t="0" r="2540" b="0"/>
            <wp:docPr id="10249956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9561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5502" w14:textId="24E4A253" w:rsidR="0082735F" w:rsidRPr="0094072F" w:rsidRDefault="0082735F" w:rsidP="0094072F">
      <w:pPr>
        <w:tabs>
          <w:tab w:val="left" w:pos="4159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8AAEF92" w14:textId="09F56524" w:rsidR="0082735F" w:rsidRPr="0094072F" w:rsidRDefault="0082735F" w:rsidP="0094072F">
      <w:pPr>
        <w:tabs>
          <w:tab w:val="left" w:pos="4159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407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Aptuvenais būvmateriālu sadalījums </w:t>
      </w:r>
      <w:r w:rsidR="00A67BC1" w:rsidRPr="00DB3CF6">
        <w:rPr>
          <w:rFonts w:ascii="Times New Roman" w:eastAsia="SimSun" w:hAnsi="Times New Roman" w:cs="Times New Roman"/>
          <w:sz w:val="24"/>
          <w:szCs w:val="24"/>
          <w:lang w:eastAsia="ar-SA"/>
        </w:rPr>
        <w:t>Balvu pilsētas</w:t>
      </w:r>
      <w:r w:rsidR="00A67B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4072F">
        <w:rPr>
          <w:rFonts w:ascii="Times New Roman" w:eastAsia="SimSun" w:hAnsi="Times New Roman" w:cs="Times New Roman"/>
          <w:sz w:val="24"/>
          <w:szCs w:val="24"/>
          <w:lang w:eastAsia="ar-SA"/>
        </w:rPr>
        <w:t>Ezera ielas posmos:</w:t>
      </w:r>
    </w:p>
    <w:p w14:paraId="03DC3405" w14:textId="31C45F03" w:rsidR="0082735F" w:rsidRPr="0094072F" w:rsidRDefault="0082735F" w:rsidP="00DB3CF6">
      <w:pPr>
        <w:pStyle w:val="Sarakstarindkopa"/>
        <w:numPr>
          <w:ilvl w:val="0"/>
          <w:numId w:val="22"/>
        </w:numPr>
        <w:tabs>
          <w:tab w:val="left" w:pos="4159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4072F">
        <w:rPr>
          <w:rFonts w:ascii="Times New Roman" w:eastAsia="SimSun" w:hAnsi="Times New Roman" w:cs="Times New Roman"/>
          <w:sz w:val="24"/>
          <w:szCs w:val="24"/>
          <w:lang w:eastAsia="ar-SA"/>
        </w:rPr>
        <w:t>Stāvlaukuma posms – 37 m (~ 5 puķupodi);</w:t>
      </w:r>
    </w:p>
    <w:p w14:paraId="3D76A111" w14:textId="77777777" w:rsidR="0082735F" w:rsidRPr="0094072F" w:rsidRDefault="0082735F" w:rsidP="00DB3CF6">
      <w:pPr>
        <w:pStyle w:val="Sarakstarindkopa"/>
        <w:numPr>
          <w:ilvl w:val="0"/>
          <w:numId w:val="22"/>
        </w:numPr>
        <w:tabs>
          <w:tab w:val="left" w:pos="4159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4072F">
        <w:rPr>
          <w:rFonts w:ascii="Times New Roman" w:eastAsia="SimSun" w:hAnsi="Times New Roman" w:cs="Times New Roman"/>
          <w:sz w:val="24"/>
          <w:szCs w:val="24"/>
          <w:lang w:eastAsia="ar-SA"/>
        </w:rPr>
        <w:t>Stāvlaukums – Miera iela – 36 m (~ 20 stabiņi);</w:t>
      </w:r>
    </w:p>
    <w:p w14:paraId="583C387A" w14:textId="77777777" w:rsidR="0082735F" w:rsidRPr="0094072F" w:rsidRDefault="0082735F" w:rsidP="00DB3CF6">
      <w:pPr>
        <w:pStyle w:val="Sarakstarindkopa"/>
        <w:numPr>
          <w:ilvl w:val="0"/>
          <w:numId w:val="22"/>
        </w:numPr>
        <w:tabs>
          <w:tab w:val="left" w:pos="4159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4072F">
        <w:rPr>
          <w:rFonts w:ascii="Times New Roman" w:eastAsia="SimSun" w:hAnsi="Times New Roman" w:cs="Times New Roman"/>
          <w:sz w:val="24"/>
          <w:szCs w:val="24"/>
          <w:lang w:eastAsia="ar-SA"/>
        </w:rPr>
        <w:t>Miera iela – Iebrauktuve – 45 m (~ 25 stabiņi);</w:t>
      </w:r>
    </w:p>
    <w:p w14:paraId="19D19A54" w14:textId="748B931C" w:rsidR="0082735F" w:rsidRPr="0094072F" w:rsidRDefault="0082735F" w:rsidP="00DB3CF6">
      <w:pPr>
        <w:pStyle w:val="Sarakstarindkopa"/>
        <w:numPr>
          <w:ilvl w:val="0"/>
          <w:numId w:val="22"/>
        </w:numPr>
        <w:tabs>
          <w:tab w:val="left" w:pos="4159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4072F">
        <w:rPr>
          <w:rFonts w:ascii="Times New Roman" w:eastAsia="SimSun" w:hAnsi="Times New Roman" w:cs="Times New Roman"/>
          <w:sz w:val="24"/>
          <w:szCs w:val="24"/>
          <w:lang w:eastAsia="ar-SA"/>
        </w:rPr>
        <w:t>Iebrauktuve – stāvlaukums – 23 m ( ~</w:t>
      </w:r>
      <w:r w:rsidR="009D0264" w:rsidRPr="009407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4072F">
        <w:rPr>
          <w:rFonts w:ascii="Times New Roman" w:eastAsia="SimSun" w:hAnsi="Times New Roman" w:cs="Times New Roman"/>
          <w:sz w:val="24"/>
          <w:szCs w:val="24"/>
          <w:lang w:eastAsia="ar-SA"/>
        </w:rPr>
        <w:t>15 stabiņi);</w:t>
      </w:r>
    </w:p>
    <w:p w14:paraId="186CFA77" w14:textId="55F6B6E3" w:rsidR="0082735F" w:rsidRPr="0094072F" w:rsidRDefault="0082735F" w:rsidP="00DB3CF6">
      <w:pPr>
        <w:pStyle w:val="Sarakstarindkopa"/>
        <w:numPr>
          <w:ilvl w:val="0"/>
          <w:numId w:val="22"/>
        </w:numPr>
        <w:tabs>
          <w:tab w:val="left" w:pos="4159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4072F">
        <w:rPr>
          <w:rFonts w:ascii="Times New Roman" w:eastAsia="SimSun" w:hAnsi="Times New Roman" w:cs="Times New Roman"/>
          <w:sz w:val="24"/>
          <w:szCs w:val="24"/>
          <w:lang w:eastAsia="ar-SA"/>
        </w:rPr>
        <w:t>Horizontālais apzīmējums Nr.920 ~ 120 m;</w:t>
      </w:r>
    </w:p>
    <w:p w14:paraId="57A74C4A" w14:textId="3BCE0A3A" w:rsidR="0082735F" w:rsidRPr="0094072F" w:rsidRDefault="0082735F" w:rsidP="00DB3CF6">
      <w:pPr>
        <w:pStyle w:val="Sarakstarindkopa"/>
        <w:numPr>
          <w:ilvl w:val="0"/>
          <w:numId w:val="22"/>
        </w:numPr>
        <w:tabs>
          <w:tab w:val="left" w:pos="4159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407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Horizontālais apzīmējums Nr.925 ~ </w:t>
      </w:r>
      <w:r w:rsidR="00A67BC1">
        <w:rPr>
          <w:rFonts w:ascii="Times New Roman" w:eastAsia="SimSun" w:hAnsi="Times New Roman" w:cs="Times New Roman"/>
          <w:sz w:val="24"/>
          <w:szCs w:val="24"/>
          <w:lang w:eastAsia="ar-SA"/>
        </w:rPr>
        <w:t>22 m</w:t>
      </w:r>
    </w:p>
    <w:sectPr w:rsidR="0082735F" w:rsidRPr="0094072F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52E7" w14:textId="77777777" w:rsidR="005176A0" w:rsidRDefault="005176A0" w:rsidP="002D1C27">
      <w:pPr>
        <w:spacing w:after="0" w:line="240" w:lineRule="auto"/>
      </w:pPr>
      <w:r>
        <w:separator/>
      </w:r>
    </w:p>
  </w:endnote>
  <w:endnote w:type="continuationSeparator" w:id="0">
    <w:p w14:paraId="0D6D76C0" w14:textId="77777777" w:rsidR="005176A0" w:rsidRDefault="005176A0" w:rsidP="002D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3EED" w14:textId="77777777" w:rsidR="005176A0" w:rsidRDefault="005176A0" w:rsidP="002D1C27">
      <w:pPr>
        <w:spacing w:after="0" w:line="240" w:lineRule="auto"/>
      </w:pPr>
      <w:r>
        <w:separator/>
      </w:r>
    </w:p>
  </w:footnote>
  <w:footnote w:type="continuationSeparator" w:id="0">
    <w:p w14:paraId="72C17AD4" w14:textId="77777777" w:rsidR="005176A0" w:rsidRDefault="005176A0" w:rsidP="002D1C27">
      <w:pPr>
        <w:spacing w:after="0" w:line="240" w:lineRule="auto"/>
      </w:pPr>
      <w:r>
        <w:continuationSeparator/>
      </w:r>
    </w:p>
  </w:footnote>
  <w:footnote w:id="1">
    <w:p w14:paraId="089F9EAB" w14:textId="77777777" w:rsidR="002D1C27" w:rsidRPr="000D45E6" w:rsidRDefault="002D1C27" w:rsidP="002D1C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501F"/>
    <w:multiLevelType w:val="multilevel"/>
    <w:tmpl w:val="F03858D8"/>
    <w:lvl w:ilvl="0">
      <w:start w:val="7"/>
      <w:numFmt w:val="none"/>
      <w:lvlText w:val="10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11AC2"/>
    <w:multiLevelType w:val="multilevel"/>
    <w:tmpl w:val="4FF6FB18"/>
    <w:lvl w:ilvl="0">
      <w:start w:val="10"/>
      <w:numFmt w:val="none"/>
      <w:lvlText w:val="10.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AB46FB"/>
    <w:multiLevelType w:val="multilevel"/>
    <w:tmpl w:val="DC02CC10"/>
    <w:lvl w:ilvl="0">
      <w:start w:val="6"/>
      <w:numFmt w:val="none"/>
      <w:lvlText w:val="6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753B03"/>
    <w:multiLevelType w:val="multilevel"/>
    <w:tmpl w:val="F8B4BB2C"/>
    <w:lvl w:ilvl="0">
      <w:start w:val="7"/>
      <w:numFmt w:val="none"/>
      <w:lvlText w:val="7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733F0A"/>
    <w:multiLevelType w:val="multilevel"/>
    <w:tmpl w:val="9BEAF3CE"/>
    <w:lvl w:ilvl="0">
      <w:start w:val="7"/>
      <w:numFmt w:val="none"/>
      <w:lvlText w:val="9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B955DB"/>
    <w:multiLevelType w:val="multilevel"/>
    <w:tmpl w:val="46164ABE"/>
    <w:lvl w:ilvl="0">
      <w:start w:val="7"/>
      <w:numFmt w:val="none"/>
      <w:lvlText w:val="8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762D9F"/>
    <w:multiLevelType w:val="multilevel"/>
    <w:tmpl w:val="C2106BD2"/>
    <w:lvl w:ilvl="0">
      <w:start w:val="6"/>
      <w:numFmt w:val="none"/>
      <w:lvlText w:val="6.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4F4467"/>
    <w:multiLevelType w:val="multilevel"/>
    <w:tmpl w:val="DD127928"/>
    <w:lvl w:ilvl="0">
      <w:start w:val="8"/>
      <w:numFmt w:val="decimal"/>
      <w:lvlText w:val="%1.4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EE067E"/>
    <w:multiLevelType w:val="multilevel"/>
    <w:tmpl w:val="D83ACA60"/>
    <w:lvl w:ilvl="0">
      <w:start w:val="6"/>
      <w:numFmt w:val="none"/>
      <w:lvlText w:val="6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885ADB"/>
    <w:multiLevelType w:val="hybridMultilevel"/>
    <w:tmpl w:val="8DCAED0C"/>
    <w:lvl w:ilvl="0" w:tplc="1944940A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D021CC1"/>
    <w:multiLevelType w:val="multilevel"/>
    <w:tmpl w:val="C51AF718"/>
    <w:lvl w:ilvl="0">
      <w:start w:val="7"/>
      <w:numFmt w:val="none"/>
      <w:lvlText w:val="7.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376773"/>
    <w:multiLevelType w:val="multilevel"/>
    <w:tmpl w:val="78D0669C"/>
    <w:lvl w:ilvl="0">
      <w:start w:val="8"/>
      <w:numFmt w:val="decimal"/>
      <w:lvlText w:val="%1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842DCB"/>
    <w:multiLevelType w:val="multilevel"/>
    <w:tmpl w:val="F4CE0422"/>
    <w:lvl w:ilvl="0">
      <w:start w:val="7"/>
      <w:numFmt w:val="none"/>
      <w:lvlText w:val="7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FDB1A46"/>
    <w:multiLevelType w:val="multilevel"/>
    <w:tmpl w:val="B25E656C"/>
    <w:lvl w:ilvl="0">
      <w:start w:val="9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8E7DE6"/>
    <w:multiLevelType w:val="multilevel"/>
    <w:tmpl w:val="46D0F5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BD5DB4"/>
    <w:multiLevelType w:val="hybridMultilevel"/>
    <w:tmpl w:val="AF70CB74"/>
    <w:lvl w:ilvl="0" w:tplc="5344E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535FD"/>
    <w:multiLevelType w:val="multilevel"/>
    <w:tmpl w:val="47CCC274"/>
    <w:lvl w:ilvl="0">
      <w:start w:val="8"/>
      <w:numFmt w:val="decimal"/>
      <w:lvlText w:val="%1.4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E840BEF"/>
    <w:multiLevelType w:val="multilevel"/>
    <w:tmpl w:val="F3AE0FE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437660"/>
    <w:multiLevelType w:val="multilevel"/>
    <w:tmpl w:val="039A78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1D5CCA"/>
    <w:multiLevelType w:val="multilevel"/>
    <w:tmpl w:val="2684113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5840D3F"/>
    <w:multiLevelType w:val="multilevel"/>
    <w:tmpl w:val="6A9666EC"/>
    <w:lvl w:ilvl="0">
      <w:start w:val="10"/>
      <w:numFmt w:val="none"/>
      <w:lvlText w:val="10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6753B57"/>
    <w:multiLevelType w:val="multilevel"/>
    <w:tmpl w:val="0AD84ADE"/>
    <w:lvl w:ilvl="0">
      <w:start w:val="10"/>
      <w:numFmt w:val="none"/>
      <w:lvlText w:val="10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F25DF2"/>
    <w:multiLevelType w:val="multilevel"/>
    <w:tmpl w:val="EF401906"/>
    <w:lvl w:ilvl="0">
      <w:start w:val="7"/>
      <w:numFmt w:val="none"/>
      <w:lvlText w:val="8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D4F05BE"/>
    <w:multiLevelType w:val="multilevel"/>
    <w:tmpl w:val="F02C80E4"/>
    <w:lvl w:ilvl="0">
      <w:start w:val="10"/>
      <w:numFmt w:val="none"/>
      <w:lvlText w:val="10.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59025238">
    <w:abstractNumId w:val="3"/>
  </w:num>
  <w:num w:numId="2" w16cid:durableId="131531444">
    <w:abstractNumId w:val="2"/>
  </w:num>
  <w:num w:numId="3" w16cid:durableId="294649882">
    <w:abstractNumId w:val="5"/>
  </w:num>
  <w:num w:numId="4" w16cid:durableId="1376156736">
    <w:abstractNumId w:val="11"/>
  </w:num>
  <w:num w:numId="5" w16cid:durableId="224491124">
    <w:abstractNumId w:val="16"/>
  </w:num>
  <w:num w:numId="6" w16cid:durableId="1663465710">
    <w:abstractNumId w:val="13"/>
  </w:num>
  <w:num w:numId="7" w16cid:durableId="1849755990">
    <w:abstractNumId w:val="20"/>
  </w:num>
  <w:num w:numId="8" w16cid:durableId="701781184">
    <w:abstractNumId w:val="21"/>
  </w:num>
  <w:num w:numId="9" w16cid:durableId="1725836695">
    <w:abstractNumId w:val="8"/>
  </w:num>
  <w:num w:numId="10" w16cid:durableId="1668747797">
    <w:abstractNumId w:val="6"/>
  </w:num>
  <w:num w:numId="11" w16cid:durableId="1006515178">
    <w:abstractNumId w:val="12"/>
  </w:num>
  <w:num w:numId="12" w16cid:durableId="927346607">
    <w:abstractNumId w:val="10"/>
  </w:num>
  <w:num w:numId="13" w16cid:durableId="704255825">
    <w:abstractNumId w:val="19"/>
  </w:num>
  <w:num w:numId="14" w16cid:durableId="1437795142">
    <w:abstractNumId w:val="22"/>
  </w:num>
  <w:num w:numId="15" w16cid:durableId="1518108213">
    <w:abstractNumId w:val="4"/>
  </w:num>
  <w:num w:numId="16" w16cid:durableId="1629433569">
    <w:abstractNumId w:val="9"/>
  </w:num>
  <w:num w:numId="17" w16cid:durableId="339356034">
    <w:abstractNumId w:val="7"/>
  </w:num>
  <w:num w:numId="18" w16cid:durableId="323050061">
    <w:abstractNumId w:val="0"/>
  </w:num>
  <w:num w:numId="19" w16cid:durableId="877545052">
    <w:abstractNumId w:val="1"/>
  </w:num>
  <w:num w:numId="20" w16cid:durableId="2109041601">
    <w:abstractNumId w:val="23"/>
  </w:num>
  <w:num w:numId="21" w16cid:durableId="727187839">
    <w:abstractNumId w:val="17"/>
  </w:num>
  <w:num w:numId="22" w16cid:durableId="276984843">
    <w:abstractNumId w:val="15"/>
  </w:num>
  <w:num w:numId="23" w16cid:durableId="1107120173">
    <w:abstractNumId w:val="14"/>
  </w:num>
  <w:num w:numId="24" w16cid:durableId="16707953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AF"/>
    <w:rsid w:val="00102166"/>
    <w:rsid w:val="00122F04"/>
    <w:rsid w:val="0022759E"/>
    <w:rsid w:val="002B1F09"/>
    <w:rsid w:val="002D1C27"/>
    <w:rsid w:val="002F2555"/>
    <w:rsid w:val="00300348"/>
    <w:rsid w:val="00322072"/>
    <w:rsid w:val="003708CD"/>
    <w:rsid w:val="00374A03"/>
    <w:rsid w:val="00385C5F"/>
    <w:rsid w:val="003B12AF"/>
    <w:rsid w:val="003C799F"/>
    <w:rsid w:val="004A60F1"/>
    <w:rsid w:val="0051224F"/>
    <w:rsid w:val="005176A0"/>
    <w:rsid w:val="005B0D0F"/>
    <w:rsid w:val="005B1CBC"/>
    <w:rsid w:val="0076345C"/>
    <w:rsid w:val="007B232E"/>
    <w:rsid w:val="0082735F"/>
    <w:rsid w:val="00873348"/>
    <w:rsid w:val="00900C1C"/>
    <w:rsid w:val="0094072F"/>
    <w:rsid w:val="009C3D08"/>
    <w:rsid w:val="009D0264"/>
    <w:rsid w:val="009D1B79"/>
    <w:rsid w:val="00A13EED"/>
    <w:rsid w:val="00A20C2F"/>
    <w:rsid w:val="00A67BC1"/>
    <w:rsid w:val="00A71ED3"/>
    <w:rsid w:val="00AE7D86"/>
    <w:rsid w:val="00B110B4"/>
    <w:rsid w:val="00C37FEB"/>
    <w:rsid w:val="00D026CE"/>
    <w:rsid w:val="00D02D3B"/>
    <w:rsid w:val="00D60D5C"/>
    <w:rsid w:val="00D859F2"/>
    <w:rsid w:val="00DB301A"/>
    <w:rsid w:val="00DB3CF6"/>
    <w:rsid w:val="00E51958"/>
    <w:rsid w:val="00E541A1"/>
    <w:rsid w:val="00E8440E"/>
    <w:rsid w:val="00F04A1E"/>
    <w:rsid w:val="00FB18D5"/>
    <w:rsid w:val="00FC3C4E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0BDB"/>
  <w15:chartTrackingRefBased/>
  <w15:docId w15:val="{74ECC4F8-5894-4DB6-B737-3E6B3A24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4A03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B1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B1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B12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B1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B12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B1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B1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B1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B1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B12A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B12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B12AF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B12AF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B12AF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B12AF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B12AF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B12AF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B12AF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B1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B12AF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B1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B12AF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3B1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B12AF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2,Akapit z listą BS,Bullet list,Colorful List - Accent 12,H&amp;P List Paragraph,List Paragraph1,List1,Normal bullet 2,Numurets,PPS_Bullet,Saistīto dokumentu saraksts,Saraksta rindkopa1,Strip,Syle 1,Virsraksti,ADB paragraph numbering,Dot p"/>
    <w:basedOn w:val="Parasts"/>
    <w:link w:val="SarakstarindkopaRakstz"/>
    <w:uiPriority w:val="34"/>
    <w:qFormat/>
    <w:rsid w:val="003B12A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B12AF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B12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B12AF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3B12AF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374A03"/>
    <w:pPr>
      <w:spacing w:after="0" w:line="240" w:lineRule="auto"/>
    </w:pPr>
    <w:rPr>
      <w:rFonts w:eastAsia="Times New Roman" w:cs="Times New Roman"/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Akapit z listą BS Rakstz.,Bullet list Rakstz.,Colorful List - Accent 12 Rakstz.,H&amp;P List Paragraph Rakstz.,List Paragraph1 Rakstz.,List1 Rakstz.,Normal bullet 2 Rakstz.,Numurets Rakstz.,PPS_Bullet Rakstz."/>
    <w:link w:val="Sarakstarindkopa"/>
    <w:uiPriority w:val="34"/>
    <w:qFormat/>
    <w:locked/>
    <w:rsid w:val="00374A03"/>
    <w:rPr>
      <w:lang w:val="lv-LV"/>
    </w:rPr>
  </w:style>
  <w:style w:type="character" w:styleId="Vresatsauce">
    <w:name w:val="footnote reference"/>
    <w:basedOn w:val="Noklusjumarindkopasfonts"/>
    <w:unhideWhenUsed/>
    <w:rsid w:val="002D1C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3970</Words>
  <Characters>2264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68</cp:revision>
  <dcterms:created xsi:type="dcterms:W3CDTF">2025-06-25T07:57:00Z</dcterms:created>
  <dcterms:modified xsi:type="dcterms:W3CDTF">2025-06-25T12:39:00Z</dcterms:modified>
</cp:coreProperties>
</file>