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27A3" w:rsidRDefault="000527A3" w:rsidP="000527A3">
      <w:pPr>
        <w:jc w:val="center"/>
        <w:rPr>
          <w:rFonts w:ascii="Times New Roman" w:hAnsi="Times New Roman" w:cs="Times New Roman"/>
          <w:b/>
          <w:sz w:val="24"/>
          <w:szCs w:val="24"/>
        </w:rPr>
      </w:pPr>
      <w:bookmarkStart w:id="0" w:name="_GoBack"/>
      <w:r>
        <w:rPr>
          <w:rFonts w:ascii="Times New Roman" w:hAnsi="Times New Roman" w:cs="Times New Roman"/>
          <w:b/>
          <w:sz w:val="24"/>
          <w:szCs w:val="24"/>
        </w:rPr>
        <w:t>Paskaidrojuma raksts par Viļakas novada pašvaldības 2020.gada budžetu</w:t>
      </w:r>
    </w:p>
    <w:bookmarkEnd w:id="0"/>
    <w:p w:rsidR="000527A3" w:rsidRDefault="000527A3" w:rsidP="000527A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Novada sociālekonomiskais raksturojums</w:t>
      </w:r>
    </w:p>
    <w:p w:rsidR="000527A3" w:rsidRDefault="000527A3" w:rsidP="000527A3">
      <w:pPr>
        <w:spacing w:after="0" w:line="240" w:lineRule="auto"/>
        <w:jc w:val="center"/>
        <w:rPr>
          <w:rFonts w:ascii="Times New Roman" w:hAnsi="Times New Roman" w:cs="Times New Roman"/>
          <w:b/>
          <w:sz w:val="24"/>
          <w:szCs w:val="24"/>
        </w:rPr>
      </w:pPr>
    </w:p>
    <w:p w:rsidR="000527A3" w:rsidRDefault="000527A3" w:rsidP="000527A3">
      <w:pPr>
        <w:spacing w:after="0" w:line="240" w:lineRule="auto"/>
        <w:ind w:firstLine="567"/>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Viļakas novads atrodas Latvijas ziemeļaustrumu daļā. Novads austrumos 66,6 km garumā robežojas ar Krievijas Federāciju, dienvidos - ar mazāko novadu Latvijā – Baltinavas novadu, rietumos - ar Balvu novadu un ziemeļos - ar Alūksnes novadu. Ar Viļakas novadu sākas Eiropas Savienība.</w:t>
      </w:r>
    </w:p>
    <w:p w:rsidR="000527A3" w:rsidRDefault="000527A3" w:rsidP="000527A3">
      <w:pPr>
        <w:spacing w:after="0" w:line="240" w:lineRule="auto"/>
        <w:ind w:firstLine="56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Viļakas novada kopējā teritorija ir 638,79 km</w:t>
      </w:r>
      <w:r>
        <w:rPr>
          <w:rFonts w:ascii="Times New Roman" w:hAnsi="Times New Roman" w:cs="Times New Roman"/>
          <w:sz w:val="24"/>
          <w:szCs w:val="24"/>
          <w:shd w:val="clear" w:color="auto" w:fill="FFFFFF"/>
          <w:vertAlign w:val="superscript"/>
        </w:rPr>
        <w:t>2</w:t>
      </w:r>
      <w:r>
        <w:rPr>
          <w:rFonts w:ascii="Times New Roman" w:hAnsi="Times New Roman" w:cs="Times New Roman"/>
          <w:sz w:val="24"/>
          <w:szCs w:val="24"/>
          <w:shd w:val="clear" w:color="auto" w:fill="FFFFFF"/>
        </w:rPr>
        <w:t>. Pēc Pilsonības un migrācijas lietu pārvaldes (PMLP) datiem Viļakas novadā dzīvo 4908 (uz 01.01.2020) iedzīvotāji. Iedzīvotāju blīvums – 7.68 iedzīvotāji/km</w:t>
      </w:r>
      <w:r>
        <w:rPr>
          <w:rFonts w:ascii="Times New Roman" w:hAnsi="Times New Roman" w:cs="Times New Roman"/>
          <w:sz w:val="24"/>
          <w:szCs w:val="24"/>
          <w:shd w:val="clear" w:color="auto" w:fill="FFFFFF"/>
          <w:vertAlign w:val="superscript"/>
        </w:rPr>
        <w:t>2</w:t>
      </w:r>
      <w:r>
        <w:rPr>
          <w:rFonts w:ascii="Times New Roman" w:hAnsi="Times New Roman" w:cs="Times New Roman"/>
          <w:sz w:val="24"/>
          <w:szCs w:val="24"/>
          <w:shd w:val="clear" w:color="auto" w:fill="FFFFFF"/>
        </w:rPr>
        <w:t>.</w:t>
      </w:r>
    </w:p>
    <w:p w:rsidR="000527A3" w:rsidRDefault="000527A3" w:rsidP="000527A3">
      <w:pPr>
        <w:spacing w:after="0" w:line="240" w:lineRule="auto"/>
        <w:ind w:firstLine="567"/>
        <w:jc w:val="both"/>
        <w:rPr>
          <w:rFonts w:ascii="Times New Roman" w:hAnsi="Times New Roman" w:cs="Times New Roman"/>
          <w:color w:val="FF0000"/>
          <w:sz w:val="24"/>
          <w:szCs w:val="24"/>
          <w:shd w:val="clear" w:color="auto" w:fill="FFFFFF"/>
        </w:rPr>
      </w:pPr>
    </w:p>
    <w:p w:rsidR="000527A3" w:rsidRDefault="000527A3" w:rsidP="000527A3">
      <w:pPr>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Iedzīvotāju skaits Viļakas novada pagastu pārvaldēs 2016.-2019.gads</w:t>
      </w:r>
    </w:p>
    <w:tbl>
      <w:tblPr>
        <w:tblW w:w="9500" w:type="dxa"/>
        <w:tblLook w:val="04A0" w:firstRow="1" w:lastRow="0" w:firstColumn="1" w:lastColumn="0" w:noHBand="0" w:noVBand="1"/>
      </w:tblPr>
      <w:tblGrid>
        <w:gridCol w:w="1180"/>
        <w:gridCol w:w="780"/>
        <w:gridCol w:w="860"/>
        <w:gridCol w:w="820"/>
        <w:gridCol w:w="860"/>
        <w:gridCol w:w="800"/>
        <w:gridCol w:w="800"/>
        <w:gridCol w:w="820"/>
        <w:gridCol w:w="880"/>
        <w:gridCol w:w="820"/>
        <w:gridCol w:w="880"/>
      </w:tblGrid>
      <w:tr w:rsidR="000527A3" w:rsidTr="000527A3">
        <w:trPr>
          <w:trHeight w:val="1380"/>
        </w:trPr>
        <w:tc>
          <w:tcPr>
            <w:tcW w:w="1180" w:type="dxa"/>
            <w:tcBorders>
              <w:top w:val="single" w:sz="4" w:space="0" w:color="auto"/>
              <w:left w:val="single" w:sz="4" w:space="0" w:color="auto"/>
              <w:bottom w:val="single" w:sz="4" w:space="0" w:color="auto"/>
              <w:right w:val="single" w:sz="4" w:space="0" w:color="auto"/>
            </w:tcBorders>
            <w:vAlign w:val="center"/>
            <w:hideMark/>
          </w:tcPr>
          <w:p w:rsidR="000527A3" w:rsidRDefault="000527A3">
            <w:pPr>
              <w:spacing w:after="0" w:line="240" w:lineRule="auto"/>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Pagasta pārvalde</w:t>
            </w:r>
          </w:p>
        </w:tc>
        <w:tc>
          <w:tcPr>
            <w:tcW w:w="780" w:type="dxa"/>
            <w:tcBorders>
              <w:top w:val="single" w:sz="4" w:space="0" w:color="auto"/>
              <w:left w:val="nil"/>
              <w:bottom w:val="single" w:sz="4" w:space="0" w:color="auto"/>
              <w:right w:val="single" w:sz="4" w:space="0" w:color="auto"/>
            </w:tcBorders>
            <w:textDirection w:val="btLr"/>
            <w:vAlign w:val="center"/>
            <w:hideMark/>
          </w:tcPr>
          <w:p w:rsidR="000527A3" w:rsidRDefault="000527A3">
            <w:pPr>
              <w:spacing w:after="0" w:line="240" w:lineRule="auto"/>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2016.gads</w:t>
            </w:r>
          </w:p>
        </w:tc>
        <w:tc>
          <w:tcPr>
            <w:tcW w:w="860" w:type="dxa"/>
            <w:tcBorders>
              <w:top w:val="single" w:sz="4" w:space="0" w:color="auto"/>
              <w:left w:val="nil"/>
              <w:bottom w:val="single" w:sz="4" w:space="0" w:color="auto"/>
              <w:right w:val="single" w:sz="4" w:space="0" w:color="auto"/>
            </w:tcBorders>
            <w:textDirection w:val="btLr"/>
            <w:vAlign w:val="center"/>
            <w:hideMark/>
          </w:tcPr>
          <w:p w:rsidR="000527A3" w:rsidRDefault="000527A3">
            <w:pPr>
              <w:spacing w:after="0" w:line="240" w:lineRule="auto"/>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 xml:space="preserve">2017.gads </w:t>
            </w:r>
          </w:p>
        </w:tc>
        <w:tc>
          <w:tcPr>
            <w:tcW w:w="820" w:type="dxa"/>
            <w:tcBorders>
              <w:top w:val="single" w:sz="4" w:space="0" w:color="auto"/>
              <w:left w:val="nil"/>
              <w:bottom w:val="single" w:sz="4" w:space="0" w:color="auto"/>
              <w:right w:val="single" w:sz="4" w:space="0" w:color="auto"/>
            </w:tcBorders>
            <w:textDirection w:val="btLr"/>
            <w:vAlign w:val="center"/>
            <w:hideMark/>
          </w:tcPr>
          <w:p w:rsidR="000527A3" w:rsidRDefault="000527A3">
            <w:pPr>
              <w:spacing w:after="0" w:line="240" w:lineRule="auto"/>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 xml:space="preserve">2018.gads </w:t>
            </w:r>
          </w:p>
        </w:tc>
        <w:tc>
          <w:tcPr>
            <w:tcW w:w="860" w:type="dxa"/>
            <w:tcBorders>
              <w:top w:val="single" w:sz="4" w:space="0" w:color="auto"/>
              <w:left w:val="nil"/>
              <w:bottom w:val="single" w:sz="4" w:space="0" w:color="auto"/>
              <w:right w:val="single" w:sz="4" w:space="0" w:color="auto"/>
            </w:tcBorders>
            <w:textDirection w:val="btLr"/>
            <w:vAlign w:val="center"/>
            <w:hideMark/>
          </w:tcPr>
          <w:p w:rsidR="000527A3" w:rsidRDefault="000527A3">
            <w:pPr>
              <w:spacing w:after="0" w:line="240" w:lineRule="auto"/>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 xml:space="preserve">2019.gads </w:t>
            </w:r>
          </w:p>
        </w:tc>
        <w:tc>
          <w:tcPr>
            <w:tcW w:w="800" w:type="dxa"/>
            <w:tcBorders>
              <w:top w:val="single" w:sz="4" w:space="0" w:color="auto"/>
              <w:left w:val="nil"/>
              <w:bottom w:val="single" w:sz="4" w:space="0" w:color="auto"/>
              <w:right w:val="single" w:sz="4" w:space="0" w:color="auto"/>
            </w:tcBorders>
            <w:textDirection w:val="btLr"/>
            <w:vAlign w:val="center"/>
            <w:hideMark/>
          </w:tcPr>
          <w:p w:rsidR="000527A3" w:rsidRDefault="000527A3">
            <w:pPr>
              <w:spacing w:after="0" w:line="240" w:lineRule="auto"/>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 xml:space="preserve">2020.gads </w:t>
            </w:r>
          </w:p>
        </w:tc>
        <w:tc>
          <w:tcPr>
            <w:tcW w:w="800" w:type="dxa"/>
            <w:tcBorders>
              <w:top w:val="single" w:sz="4" w:space="0" w:color="auto"/>
              <w:left w:val="nil"/>
              <w:bottom w:val="single" w:sz="4" w:space="0" w:color="auto"/>
              <w:right w:val="single" w:sz="4" w:space="0" w:color="auto"/>
            </w:tcBorders>
            <w:textDirection w:val="btLr"/>
            <w:vAlign w:val="center"/>
            <w:hideMark/>
          </w:tcPr>
          <w:p w:rsidR="000527A3" w:rsidRDefault="000527A3">
            <w:pPr>
              <w:spacing w:after="0" w:line="240" w:lineRule="auto"/>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Starpība 2016/2017</w:t>
            </w:r>
          </w:p>
        </w:tc>
        <w:tc>
          <w:tcPr>
            <w:tcW w:w="820" w:type="dxa"/>
            <w:tcBorders>
              <w:top w:val="single" w:sz="4" w:space="0" w:color="auto"/>
              <w:left w:val="nil"/>
              <w:bottom w:val="single" w:sz="4" w:space="0" w:color="auto"/>
              <w:right w:val="single" w:sz="4" w:space="0" w:color="auto"/>
            </w:tcBorders>
            <w:textDirection w:val="btLr"/>
            <w:vAlign w:val="center"/>
            <w:hideMark/>
          </w:tcPr>
          <w:p w:rsidR="000527A3" w:rsidRDefault="000527A3">
            <w:pPr>
              <w:spacing w:after="0" w:line="240" w:lineRule="auto"/>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Starpība 2017/2018</w:t>
            </w:r>
          </w:p>
        </w:tc>
        <w:tc>
          <w:tcPr>
            <w:tcW w:w="880" w:type="dxa"/>
            <w:tcBorders>
              <w:top w:val="single" w:sz="4" w:space="0" w:color="auto"/>
              <w:left w:val="nil"/>
              <w:bottom w:val="single" w:sz="4" w:space="0" w:color="auto"/>
              <w:right w:val="single" w:sz="4" w:space="0" w:color="auto"/>
            </w:tcBorders>
            <w:textDirection w:val="btLr"/>
            <w:vAlign w:val="center"/>
            <w:hideMark/>
          </w:tcPr>
          <w:p w:rsidR="000527A3" w:rsidRDefault="000527A3">
            <w:pPr>
              <w:spacing w:after="0" w:line="240" w:lineRule="auto"/>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Starpība 2018/2019</w:t>
            </w:r>
          </w:p>
        </w:tc>
        <w:tc>
          <w:tcPr>
            <w:tcW w:w="820" w:type="dxa"/>
            <w:tcBorders>
              <w:top w:val="single" w:sz="4" w:space="0" w:color="auto"/>
              <w:left w:val="nil"/>
              <w:bottom w:val="single" w:sz="4" w:space="0" w:color="auto"/>
              <w:right w:val="single" w:sz="4" w:space="0" w:color="auto"/>
            </w:tcBorders>
            <w:textDirection w:val="btLr"/>
            <w:vAlign w:val="center"/>
            <w:hideMark/>
          </w:tcPr>
          <w:p w:rsidR="000527A3" w:rsidRDefault="000527A3">
            <w:pPr>
              <w:spacing w:after="0" w:line="240" w:lineRule="auto"/>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Starpība 2019/2020</w:t>
            </w:r>
          </w:p>
        </w:tc>
        <w:tc>
          <w:tcPr>
            <w:tcW w:w="880" w:type="dxa"/>
            <w:tcBorders>
              <w:top w:val="single" w:sz="4" w:space="0" w:color="auto"/>
              <w:left w:val="nil"/>
              <w:bottom w:val="single" w:sz="4" w:space="0" w:color="auto"/>
              <w:right w:val="single" w:sz="4" w:space="0" w:color="auto"/>
            </w:tcBorders>
            <w:textDirection w:val="btLr"/>
            <w:vAlign w:val="center"/>
            <w:hideMark/>
          </w:tcPr>
          <w:p w:rsidR="000527A3" w:rsidRDefault="000527A3">
            <w:pPr>
              <w:spacing w:after="0" w:line="240" w:lineRule="auto"/>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Starpība 2016/2020</w:t>
            </w:r>
          </w:p>
        </w:tc>
      </w:tr>
      <w:tr w:rsidR="000527A3" w:rsidTr="000527A3">
        <w:trPr>
          <w:trHeight w:val="315"/>
        </w:trPr>
        <w:tc>
          <w:tcPr>
            <w:tcW w:w="1180" w:type="dxa"/>
            <w:tcBorders>
              <w:top w:val="nil"/>
              <w:left w:val="single" w:sz="4" w:space="0" w:color="auto"/>
              <w:bottom w:val="single" w:sz="4" w:space="0" w:color="auto"/>
              <w:right w:val="single" w:sz="4" w:space="0" w:color="auto"/>
            </w:tcBorders>
            <w:noWrap/>
            <w:vAlign w:val="bottom"/>
            <w:hideMark/>
          </w:tcPr>
          <w:p w:rsidR="000527A3" w:rsidRDefault="000527A3">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Kuprava</w:t>
            </w:r>
          </w:p>
        </w:tc>
        <w:tc>
          <w:tcPr>
            <w:tcW w:w="780" w:type="dxa"/>
            <w:tcBorders>
              <w:top w:val="nil"/>
              <w:left w:val="nil"/>
              <w:bottom w:val="single" w:sz="4" w:space="0" w:color="auto"/>
              <w:right w:val="single" w:sz="4" w:space="0" w:color="auto"/>
            </w:tcBorders>
            <w:noWrap/>
            <w:vAlign w:val="bottom"/>
            <w:hideMark/>
          </w:tcPr>
          <w:p w:rsidR="000527A3" w:rsidRDefault="000527A3">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402</w:t>
            </w:r>
          </w:p>
        </w:tc>
        <w:tc>
          <w:tcPr>
            <w:tcW w:w="860" w:type="dxa"/>
            <w:tcBorders>
              <w:top w:val="nil"/>
              <w:left w:val="nil"/>
              <w:bottom w:val="single" w:sz="4" w:space="0" w:color="auto"/>
              <w:right w:val="single" w:sz="4" w:space="0" w:color="auto"/>
            </w:tcBorders>
            <w:noWrap/>
            <w:vAlign w:val="bottom"/>
            <w:hideMark/>
          </w:tcPr>
          <w:p w:rsidR="000527A3" w:rsidRDefault="000527A3">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402</w:t>
            </w:r>
          </w:p>
        </w:tc>
        <w:tc>
          <w:tcPr>
            <w:tcW w:w="820" w:type="dxa"/>
            <w:tcBorders>
              <w:top w:val="nil"/>
              <w:left w:val="nil"/>
              <w:bottom w:val="single" w:sz="4" w:space="0" w:color="auto"/>
              <w:right w:val="single" w:sz="4" w:space="0" w:color="auto"/>
            </w:tcBorders>
            <w:noWrap/>
            <w:vAlign w:val="bottom"/>
            <w:hideMark/>
          </w:tcPr>
          <w:p w:rsidR="000527A3" w:rsidRDefault="000527A3">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360</w:t>
            </w:r>
          </w:p>
        </w:tc>
        <w:tc>
          <w:tcPr>
            <w:tcW w:w="860" w:type="dxa"/>
            <w:tcBorders>
              <w:top w:val="nil"/>
              <w:left w:val="nil"/>
              <w:bottom w:val="single" w:sz="4" w:space="0" w:color="auto"/>
              <w:right w:val="single" w:sz="4" w:space="0" w:color="auto"/>
            </w:tcBorders>
            <w:noWrap/>
            <w:vAlign w:val="bottom"/>
            <w:hideMark/>
          </w:tcPr>
          <w:p w:rsidR="000527A3" w:rsidRDefault="000527A3">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338</w:t>
            </w:r>
          </w:p>
        </w:tc>
        <w:tc>
          <w:tcPr>
            <w:tcW w:w="800" w:type="dxa"/>
            <w:tcBorders>
              <w:top w:val="nil"/>
              <w:left w:val="nil"/>
              <w:bottom w:val="single" w:sz="4" w:space="0" w:color="auto"/>
              <w:right w:val="single" w:sz="4" w:space="0" w:color="auto"/>
            </w:tcBorders>
            <w:noWrap/>
            <w:vAlign w:val="bottom"/>
            <w:hideMark/>
          </w:tcPr>
          <w:p w:rsidR="000527A3" w:rsidRDefault="000527A3">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337</w:t>
            </w:r>
          </w:p>
        </w:tc>
        <w:tc>
          <w:tcPr>
            <w:tcW w:w="800" w:type="dxa"/>
            <w:tcBorders>
              <w:top w:val="nil"/>
              <w:left w:val="nil"/>
              <w:bottom w:val="single" w:sz="4" w:space="0" w:color="auto"/>
              <w:right w:val="single" w:sz="4" w:space="0" w:color="auto"/>
            </w:tcBorders>
            <w:noWrap/>
            <w:vAlign w:val="bottom"/>
            <w:hideMark/>
          </w:tcPr>
          <w:p w:rsidR="000527A3" w:rsidRDefault="000527A3">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820" w:type="dxa"/>
            <w:tcBorders>
              <w:top w:val="nil"/>
              <w:left w:val="nil"/>
              <w:bottom w:val="single" w:sz="4" w:space="0" w:color="auto"/>
              <w:right w:val="single" w:sz="4" w:space="0" w:color="auto"/>
            </w:tcBorders>
            <w:noWrap/>
            <w:vAlign w:val="bottom"/>
            <w:hideMark/>
          </w:tcPr>
          <w:p w:rsidR="000527A3" w:rsidRDefault="000527A3">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-42</w:t>
            </w:r>
          </w:p>
        </w:tc>
        <w:tc>
          <w:tcPr>
            <w:tcW w:w="880" w:type="dxa"/>
            <w:tcBorders>
              <w:top w:val="nil"/>
              <w:left w:val="nil"/>
              <w:bottom w:val="single" w:sz="4" w:space="0" w:color="auto"/>
              <w:right w:val="single" w:sz="4" w:space="0" w:color="auto"/>
            </w:tcBorders>
            <w:noWrap/>
            <w:vAlign w:val="bottom"/>
            <w:hideMark/>
          </w:tcPr>
          <w:p w:rsidR="000527A3" w:rsidRDefault="000527A3">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-22</w:t>
            </w:r>
          </w:p>
        </w:tc>
        <w:tc>
          <w:tcPr>
            <w:tcW w:w="820" w:type="dxa"/>
            <w:tcBorders>
              <w:top w:val="nil"/>
              <w:left w:val="nil"/>
              <w:bottom w:val="single" w:sz="4" w:space="0" w:color="auto"/>
              <w:right w:val="single" w:sz="4" w:space="0" w:color="auto"/>
            </w:tcBorders>
            <w:noWrap/>
            <w:vAlign w:val="bottom"/>
            <w:hideMark/>
          </w:tcPr>
          <w:p w:rsidR="000527A3" w:rsidRDefault="000527A3">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p>
        </w:tc>
        <w:tc>
          <w:tcPr>
            <w:tcW w:w="880" w:type="dxa"/>
            <w:tcBorders>
              <w:top w:val="nil"/>
              <w:left w:val="nil"/>
              <w:bottom w:val="single" w:sz="4" w:space="0" w:color="auto"/>
              <w:right w:val="single" w:sz="4" w:space="0" w:color="auto"/>
            </w:tcBorders>
            <w:noWrap/>
            <w:vAlign w:val="bottom"/>
            <w:hideMark/>
          </w:tcPr>
          <w:p w:rsidR="000527A3" w:rsidRDefault="000527A3">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-64</w:t>
            </w:r>
          </w:p>
        </w:tc>
      </w:tr>
      <w:tr w:rsidR="000527A3" w:rsidTr="000527A3">
        <w:trPr>
          <w:trHeight w:val="315"/>
        </w:trPr>
        <w:tc>
          <w:tcPr>
            <w:tcW w:w="1180" w:type="dxa"/>
            <w:tcBorders>
              <w:top w:val="nil"/>
              <w:left w:val="single" w:sz="4" w:space="0" w:color="auto"/>
              <w:bottom w:val="single" w:sz="4" w:space="0" w:color="auto"/>
              <w:right w:val="single" w:sz="4" w:space="0" w:color="auto"/>
            </w:tcBorders>
            <w:noWrap/>
            <w:vAlign w:val="bottom"/>
            <w:hideMark/>
          </w:tcPr>
          <w:p w:rsidR="000527A3" w:rsidRDefault="000527A3">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Medņeva</w:t>
            </w:r>
          </w:p>
        </w:tc>
        <w:tc>
          <w:tcPr>
            <w:tcW w:w="780" w:type="dxa"/>
            <w:tcBorders>
              <w:top w:val="nil"/>
              <w:left w:val="nil"/>
              <w:bottom w:val="single" w:sz="4" w:space="0" w:color="auto"/>
              <w:right w:val="single" w:sz="4" w:space="0" w:color="auto"/>
            </w:tcBorders>
            <w:noWrap/>
            <w:vAlign w:val="bottom"/>
            <w:hideMark/>
          </w:tcPr>
          <w:p w:rsidR="000527A3" w:rsidRDefault="000527A3">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696</w:t>
            </w:r>
          </w:p>
        </w:tc>
        <w:tc>
          <w:tcPr>
            <w:tcW w:w="860" w:type="dxa"/>
            <w:tcBorders>
              <w:top w:val="nil"/>
              <w:left w:val="nil"/>
              <w:bottom w:val="single" w:sz="4" w:space="0" w:color="auto"/>
              <w:right w:val="single" w:sz="4" w:space="0" w:color="auto"/>
            </w:tcBorders>
            <w:noWrap/>
            <w:vAlign w:val="bottom"/>
            <w:hideMark/>
          </w:tcPr>
          <w:p w:rsidR="000527A3" w:rsidRDefault="000527A3">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661</w:t>
            </w:r>
          </w:p>
        </w:tc>
        <w:tc>
          <w:tcPr>
            <w:tcW w:w="820" w:type="dxa"/>
            <w:tcBorders>
              <w:top w:val="nil"/>
              <w:left w:val="nil"/>
              <w:bottom w:val="single" w:sz="4" w:space="0" w:color="auto"/>
              <w:right w:val="single" w:sz="4" w:space="0" w:color="auto"/>
            </w:tcBorders>
            <w:noWrap/>
            <w:vAlign w:val="bottom"/>
            <w:hideMark/>
          </w:tcPr>
          <w:p w:rsidR="000527A3" w:rsidRDefault="000527A3">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646</w:t>
            </w:r>
          </w:p>
        </w:tc>
        <w:tc>
          <w:tcPr>
            <w:tcW w:w="860" w:type="dxa"/>
            <w:tcBorders>
              <w:top w:val="nil"/>
              <w:left w:val="nil"/>
              <w:bottom w:val="single" w:sz="4" w:space="0" w:color="auto"/>
              <w:right w:val="single" w:sz="4" w:space="0" w:color="auto"/>
            </w:tcBorders>
            <w:noWrap/>
            <w:vAlign w:val="bottom"/>
            <w:hideMark/>
          </w:tcPr>
          <w:p w:rsidR="000527A3" w:rsidRDefault="000527A3">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633</w:t>
            </w:r>
          </w:p>
        </w:tc>
        <w:tc>
          <w:tcPr>
            <w:tcW w:w="800" w:type="dxa"/>
            <w:tcBorders>
              <w:top w:val="nil"/>
              <w:left w:val="nil"/>
              <w:bottom w:val="single" w:sz="4" w:space="0" w:color="auto"/>
              <w:right w:val="single" w:sz="4" w:space="0" w:color="auto"/>
            </w:tcBorders>
            <w:noWrap/>
            <w:vAlign w:val="bottom"/>
            <w:hideMark/>
          </w:tcPr>
          <w:p w:rsidR="000527A3" w:rsidRDefault="000527A3">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632</w:t>
            </w:r>
          </w:p>
        </w:tc>
        <w:tc>
          <w:tcPr>
            <w:tcW w:w="800" w:type="dxa"/>
            <w:tcBorders>
              <w:top w:val="nil"/>
              <w:left w:val="nil"/>
              <w:bottom w:val="single" w:sz="4" w:space="0" w:color="auto"/>
              <w:right w:val="single" w:sz="4" w:space="0" w:color="auto"/>
            </w:tcBorders>
            <w:noWrap/>
            <w:vAlign w:val="bottom"/>
            <w:hideMark/>
          </w:tcPr>
          <w:p w:rsidR="000527A3" w:rsidRDefault="000527A3">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-35</w:t>
            </w:r>
          </w:p>
        </w:tc>
        <w:tc>
          <w:tcPr>
            <w:tcW w:w="820" w:type="dxa"/>
            <w:tcBorders>
              <w:top w:val="nil"/>
              <w:left w:val="nil"/>
              <w:bottom w:val="single" w:sz="4" w:space="0" w:color="auto"/>
              <w:right w:val="single" w:sz="4" w:space="0" w:color="auto"/>
            </w:tcBorders>
            <w:noWrap/>
            <w:vAlign w:val="bottom"/>
            <w:hideMark/>
          </w:tcPr>
          <w:p w:rsidR="000527A3" w:rsidRDefault="000527A3">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-15</w:t>
            </w:r>
          </w:p>
        </w:tc>
        <w:tc>
          <w:tcPr>
            <w:tcW w:w="880" w:type="dxa"/>
            <w:tcBorders>
              <w:top w:val="nil"/>
              <w:left w:val="nil"/>
              <w:bottom w:val="single" w:sz="4" w:space="0" w:color="auto"/>
              <w:right w:val="single" w:sz="4" w:space="0" w:color="auto"/>
            </w:tcBorders>
            <w:noWrap/>
            <w:vAlign w:val="bottom"/>
            <w:hideMark/>
          </w:tcPr>
          <w:p w:rsidR="000527A3" w:rsidRDefault="000527A3">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-13</w:t>
            </w:r>
          </w:p>
        </w:tc>
        <w:tc>
          <w:tcPr>
            <w:tcW w:w="820" w:type="dxa"/>
            <w:tcBorders>
              <w:top w:val="nil"/>
              <w:left w:val="nil"/>
              <w:bottom w:val="single" w:sz="4" w:space="0" w:color="auto"/>
              <w:right w:val="single" w:sz="4" w:space="0" w:color="auto"/>
            </w:tcBorders>
            <w:noWrap/>
            <w:vAlign w:val="bottom"/>
            <w:hideMark/>
          </w:tcPr>
          <w:p w:rsidR="000527A3" w:rsidRDefault="000527A3">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p>
        </w:tc>
        <w:tc>
          <w:tcPr>
            <w:tcW w:w="880" w:type="dxa"/>
            <w:tcBorders>
              <w:top w:val="nil"/>
              <w:left w:val="nil"/>
              <w:bottom w:val="single" w:sz="4" w:space="0" w:color="auto"/>
              <w:right w:val="single" w:sz="4" w:space="0" w:color="auto"/>
            </w:tcBorders>
            <w:noWrap/>
            <w:vAlign w:val="bottom"/>
            <w:hideMark/>
          </w:tcPr>
          <w:p w:rsidR="000527A3" w:rsidRDefault="000527A3">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-63</w:t>
            </w:r>
          </w:p>
        </w:tc>
      </w:tr>
      <w:tr w:rsidR="000527A3" w:rsidTr="000527A3">
        <w:trPr>
          <w:trHeight w:val="315"/>
        </w:trPr>
        <w:tc>
          <w:tcPr>
            <w:tcW w:w="1180" w:type="dxa"/>
            <w:tcBorders>
              <w:top w:val="nil"/>
              <w:left w:val="single" w:sz="4" w:space="0" w:color="auto"/>
              <w:bottom w:val="single" w:sz="4" w:space="0" w:color="auto"/>
              <w:right w:val="single" w:sz="4" w:space="0" w:color="auto"/>
            </w:tcBorders>
            <w:noWrap/>
            <w:vAlign w:val="bottom"/>
            <w:hideMark/>
          </w:tcPr>
          <w:p w:rsidR="000527A3" w:rsidRDefault="000527A3">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Susāji</w:t>
            </w:r>
          </w:p>
        </w:tc>
        <w:tc>
          <w:tcPr>
            <w:tcW w:w="780" w:type="dxa"/>
            <w:tcBorders>
              <w:top w:val="nil"/>
              <w:left w:val="nil"/>
              <w:bottom w:val="single" w:sz="4" w:space="0" w:color="auto"/>
              <w:right w:val="single" w:sz="4" w:space="0" w:color="auto"/>
            </w:tcBorders>
            <w:noWrap/>
            <w:vAlign w:val="bottom"/>
            <w:hideMark/>
          </w:tcPr>
          <w:p w:rsidR="000527A3" w:rsidRDefault="000527A3">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625</w:t>
            </w:r>
          </w:p>
        </w:tc>
        <w:tc>
          <w:tcPr>
            <w:tcW w:w="860" w:type="dxa"/>
            <w:tcBorders>
              <w:top w:val="nil"/>
              <w:left w:val="nil"/>
              <w:bottom w:val="single" w:sz="4" w:space="0" w:color="auto"/>
              <w:right w:val="single" w:sz="4" w:space="0" w:color="auto"/>
            </w:tcBorders>
            <w:noWrap/>
            <w:vAlign w:val="bottom"/>
            <w:hideMark/>
          </w:tcPr>
          <w:p w:rsidR="000527A3" w:rsidRDefault="000527A3">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619</w:t>
            </w:r>
          </w:p>
        </w:tc>
        <w:tc>
          <w:tcPr>
            <w:tcW w:w="820" w:type="dxa"/>
            <w:tcBorders>
              <w:top w:val="nil"/>
              <w:left w:val="nil"/>
              <w:bottom w:val="single" w:sz="4" w:space="0" w:color="auto"/>
              <w:right w:val="single" w:sz="4" w:space="0" w:color="auto"/>
            </w:tcBorders>
            <w:noWrap/>
            <w:vAlign w:val="bottom"/>
            <w:hideMark/>
          </w:tcPr>
          <w:p w:rsidR="000527A3" w:rsidRDefault="000527A3">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603</w:t>
            </w:r>
          </w:p>
        </w:tc>
        <w:tc>
          <w:tcPr>
            <w:tcW w:w="860" w:type="dxa"/>
            <w:tcBorders>
              <w:top w:val="nil"/>
              <w:left w:val="nil"/>
              <w:bottom w:val="single" w:sz="4" w:space="0" w:color="auto"/>
              <w:right w:val="single" w:sz="4" w:space="0" w:color="auto"/>
            </w:tcBorders>
            <w:noWrap/>
            <w:vAlign w:val="bottom"/>
            <w:hideMark/>
          </w:tcPr>
          <w:p w:rsidR="000527A3" w:rsidRDefault="000527A3">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599</w:t>
            </w:r>
          </w:p>
        </w:tc>
        <w:tc>
          <w:tcPr>
            <w:tcW w:w="800" w:type="dxa"/>
            <w:tcBorders>
              <w:top w:val="nil"/>
              <w:left w:val="nil"/>
              <w:bottom w:val="single" w:sz="4" w:space="0" w:color="auto"/>
              <w:right w:val="single" w:sz="4" w:space="0" w:color="auto"/>
            </w:tcBorders>
            <w:noWrap/>
            <w:vAlign w:val="bottom"/>
            <w:hideMark/>
          </w:tcPr>
          <w:p w:rsidR="000527A3" w:rsidRDefault="000527A3">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564</w:t>
            </w:r>
          </w:p>
        </w:tc>
        <w:tc>
          <w:tcPr>
            <w:tcW w:w="800" w:type="dxa"/>
            <w:tcBorders>
              <w:top w:val="nil"/>
              <w:left w:val="nil"/>
              <w:bottom w:val="single" w:sz="4" w:space="0" w:color="auto"/>
              <w:right w:val="single" w:sz="4" w:space="0" w:color="auto"/>
            </w:tcBorders>
            <w:noWrap/>
            <w:vAlign w:val="bottom"/>
            <w:hideMark/>
          </w:tcPr>
          <w:p w:rsidR="000527A3" w:rsidRDefault="000527A3">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w:t>
            </w:r>
          </w:p>
        </w:tc>
        <w:tc>
          <w:tcPr>
            <w:tcW w:w="820" w:type="dxa"/>
            <w:tcBorders>
              <w:top w:val="nil"/>
              <w:left w:val="nil"/>
              <w:bottom w:val="single" w:sz="4" w:space="0" w:color="auto"/>
              <w:right w:val="single" w:sz="4" w:space="0" w:color="auto"/>
            </w:tcBorders>
            <w:noWrap/>
            <w:vAlign w:val="bottom"/>
            <w:hideMark/>
          </w:tcPr>
          <w:p w:rsidR="000527A3" w:rsidRDefault="000527A3">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-16</w:t>
            </w:r>
          </w:p>
        </w:tc>
        <w:tc>
          <w:tcPr>
            <w:tcW w:w="880" w:type="dxa"/>
            <w:tcBorders>
              <w:top w:val="nil"/>
              <w:left w:val="nil"/>
              <w:bottom w:val="single" w:sz="4" w:space="0" w:color="auto"/>
              <w:right w:val="single" w:sz="4" w:space="0" w:color="auto"/>
            </w:tcBorders>
            <w:noWrap/>
            <w:vAlign w:val="bottom"/>
            <w:hideMark/>
          </w:tcPr>
          <w:p w:rsidR="000527A3" w:rsidRDefault="000527A3">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p>
        </w:tc>
        <w:tc>
          <w:tcPr>
            <w:tcW w:w="820" w:type="dxa"/>
            <w:tcBorders>
              <w:top w:val="nil"/>
              <w:left w:val="nil"/>
              <w:bottom w:val="single" w:sz="4" w:space="0" w:color="auto"/>
              <w:right w:val="single" w:sz="4" w:space="0" w:color="auto"/>
            </w:tcBorders>
            <w:noWrap/>
            <w:vAlign w:val="bottom"/>
            <w:hideMark/>
          </w:tcPr>
          <w:p w:rsidR="000527A3" w:rsidRDefault="000527A3">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-35</w:t>
            </w:r>
          </w:p>
        </w:tc>
        <w:tc>
          <w:tcPr>
            <w:tcW w:w="880" w:type="dxa"/>
            <w:tcBorders>
              <w:top w:val="nil"/>
              <w:left w:val="nil"/>
              <w:bottom w:val="single" w:sz="4" w:space="0" w:color="auto"/>
              <w:right w:val="single" w:sz="4" w:space="0" w:color="auto"/>
            </w:tcBorders>
            <w:noWrap/>
            <w:vAlign w:val="bottom"/>
            <w:hideMark/>
          </w:tcPr>
          <w:p w:rsidR="000527A3" w:rsidRDefault="000527A3">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-26</w:t>
            </w:r>
          </w:p>
        </w:tc>
      </w:tr>
      <w:tr w:rsidR="000527A3" w:rsidTr="000527A3">
        <w:trPr>
          <w:trHeight w:val="315"/>
        </w:trPr>
        <w:tc>
          <w:tcPr>
            <w:tcW w:w="1180" w:type="dxa"/>
            <w:tcBorders>
              <w:top w:val="nil"/>
              <w:left w:val="single" w:sz="4" w:space="0" w:color="auto"/>
              <w:bottom w:val="single" w:sz="4" w:space="0" w:color="auto"/>
              <w:right w:val="single" w:sz="4" w:space="0" w:color="auto"/>
            </w:tcBorders>
            <w:noWrap/>
            <w:vAlign w:val="bottom"/>
            <w:hideMark/>
          </w:tcPr>
          <w:p w:rsidR="000527A3" w:rsidRDefault="000527A3">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Šķilbēni</w:t>
            </w:r>
          </w:p>
        </w:tc>
        <w:tc>
          <w:tcPr>
            <w:tcW w:w="780" w:type="dxa"/>
            <w:tcBorders>
              <w:top w:val="nil"/>
              <w:left w:val="nil"/>
              <w:bottom w:val="single" w:sz="4" w:space="0" w:color="auto"/>
              <w:right w:val="single" w:sz="4" w:space="0" w:color="auto"/>
            </w:tcBorders>
            <w:noWrap/>
            <w:vAlign w:val="bottom"/>
            <w:hideMark/>
          </w:tcPr>
          <w:p w:rsidR="000527A3" w:rsidRDefault="000527A3">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1128</w:t>
            </w:r>
          </w:p>
        </w:tc>
        <w:tc>
          <w:tcPr>
            <w:tcW w:w="860" w:type="dxa"/>
            <w:tcBorders>
              <w:top w:val="nil"/>
              <w:left w:val="nil"/>
              <w:bottom w:val="single" w:sz="4" w:space="0" w:color="auto"/>
              <w:right w:val="single" w:sz="4" w:space="0" w:color="auto"/>
            </w:tcBorders>
            <w:noWrap/>
            <w:vAlign w:val="bottom"/>
            <w:hideMark/>
          </w:tcPr>
          <w:p w:rsidR="000527A3" w:rsidRDefault="000527A3">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1105</w:t>
            </w:r>
          </w:p>
        </w:tc>
        <w:tc>
          <w:tcPr>
            <w:tcW w:w="820" w:type="dxa"/>
            <w:tcBorders>
              <w:top w:val="nil"/>
              <w:left w:val="nil"/>
              <w:bottom w:val="single" w:sz="4" w:space="0" w:color="auto"/>
              <w:right w:val="single" w:sz="4" w:space="0" w:color="auto"/>
            </w:tcBorders>
            <w:noWrap/>
            <w:vAlign w:val="bottom"/>
            <w:hideMark/>
          </w:tcPr>
          <w:p w:rsidR="000527A3" w:rsidRDefault="000527A3">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1061</w:t>
            </w:r>
          </w:p>
        </w:tc>
        <w:tc>
          <w:tcPr>
            <w:tcW w:w="860" w:type="dxa"/>
            <w:tcBorders>
              <w:top w:val="nil"/>
              <w:left w:val="nil"/>
              <w:bottom w:val="single" w:sz="4" w:space="0" w:color="auto"/>
              <w:right w:val="single" w:sz="4" w:space="0" w:color="auto"/>
            </w:tcBorders>
            <w:noWrap/>
            <w:vAlign w:val="bottom"/>
            <w:hideMark/>
          </w:tcPr>
          <w:p w:rsidR="000527A3" w:rsidRDefault="000527A3">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1023</w:t>
            </w:r>
          </w:p>
        </w:tc>
        <w:tc>
          <w:tcPr>
            <w:tcW w:w="800" w:type="dxa"/>
            <w:tcBorders>
              <w:top w:val="nil"/>
              <w:left w:val="nil"/>
              <w:bottom w:val="single" w:sz="4" w:space="0" w:color="auto"/>
              <w:right w:val="single" w:sz="4" w:space="0" w:color="auto"/>
            </w:tcBorders>
            <w:noWrap/>
            <w:vAlign w:val="bottom"/>
            <w:hideMark/>
          </w:tcPr>
          <w:p w:rsidR="000527A3" w:rsidRDefault="000527A3">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1006</w:t>
            </w:r>
          </w:p>
        </w:tc>
        <w:tc>
          <w:tcPr>
            <w:tcW w:w="800" w:type="dxa"/>
            <w:tcBorders>
              <w:top w:val="nil"/>
              <w:left w:val="nil"/>
              <w:bottom w:val="single" w:sz="4" w:space="0" w:color="auto"/>
              <w:right w:val="single" w:sz="4" w:space="0" w:color="auto"/>
            </w:tcBorders>
            <w:noWrap/>
            <w:vAlign w:val="bottom"/>
            <w:hideMark/>
          </w:tcPr>
          <w:p w:rsidR="000527A3" w:rsidRDefault="000527A3">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-23</w:t>
            </w:r>
          </w:p>
        </w:tc>
        <w:tc>
          <w:tcPr>
            <w:tcW w:w="820" w:type="dxa"/>
            <w:tcBorders>
              <w:top w:val="nil"/>
              <w:left w:val="nil"/>
              <w:bottom w:val="single" w:sz="4" w:space="0" w:color="auto"/>
              <w:right w:val="single" w:sz="4" w:space="0" w:color="auto"/>
            </w:tcBorders>
            <w:noWrap/>
            <w:vAlign w:val="bottom"/>
            <w:hideMark/>
          </w:tcPr>
          <w:p w:rsidR="000527A3" w:rsidRDefault="000527A3">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-44</w:t>
            </w:r>
          </w:p>
        </w:tc>
        <w:tc>
          <w:tcPr>
            <w:tcW w:w="880" w:type="dxa"/>
            <w:tcBorders>
              <w:top w:val="nil"/>
              <w:left w:val="nil"/>
              <w:bottom w:val="single" w:sz="4" w:space="0" w:color="auto"/>
              <w:right w:val="single" w:sz="4" w:space="0" w:color="auto"/>
            </w:tcBorders>
            <w:noWrap/>
            <w:vAlign w:val="bottom"/>
            <w:hideMark/>
          </w:tcPr>
          <w:p w:rsidR="000527A3" w:rsidRDefault="000527A3">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-38</w:t>
            </w:r>
          </w:p>
        </w:tc>
        <w:tc>
          <w:tcPr>
            <w:tcW w:w="820" w:type="dxa"/>
            <w:tcBorders>
              <w:top w:val="nil"/>
              <w:left w:val="nil"/>
              <w:bottom w:val="single" w:sz="4" w:space="0" w:color="auto"/>
              <w:right w:val="single" w:sz="4" w:space="0" w:color="auto"/>
            </w:tcBorders>
            <w:noWrap/>
            <w:vAlign w:val="bottom"/>
            <w:hideMark/>
          </w:tcPr>
          <w:p w:rsidR="000527A3" w:rsidRDefault="000527A3">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-17</w:t>
            </w:r>
          </w:p>
        </w:tc>
        <w:tc>
          <w:tcPr>
            <w:tcW w:w="880" w:type="dxa"/>
            <w:tcBorders>
              <w:top w:val="nil"/>
              <w:left w:val="nil"/>
              <w:bottom w:val="single" w:sz="4" w:space="0" w:color="auto"/>
              <w:right w:val="single" w:sz="4" w:space="0" w:color="auto"/>
            </w:tcBorders>
            <w:noWrap/>
            <w:vAlign w:val="bottom"/>
            <w:hideMark/>
          </w:tcPr>
          <w:p w:rsidR="000527A3" w:rsidRDefault="000527A3">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-105</w:t>
            </w:r>
          </w:p>
        </w:tc>
      </w:tr>
      <w:tr w:rsidR="000527A3" w:rsidTr="000527A3">
        <w:trPr>
          <w:trHeight w:val="315"/>
        </w:trPr>
        <w:tc>
          <w:tcPr>
            <w:tcW w:w="1180" w:type="dxa"/>
            <w:tcBorders>
              <w:top w:val="nil"/>
              <w:left w:val="single" w:sz="4" w:space="0" w:color="auto"/>
              <w:bottom w:val="single" w:sz="4" w:space="0" w:color="auto"/>
              <w:right w:val="single" w:sz="4" w:space="0" w:color="auto"/>
            </w:tcBorders>
            <w:noWrap/>
            <w:vAlign w:val="bottom"/>
            <w:hideMark/>
          </w:tcPr>
          <w:p w:rsidR="000527A3" w:rsidRDefault="000527A3">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Vecumi</w:t>
            </w:r>
          </w:p>
        </w:tc>
        <w:tc>
          <w:tcPr>
            <w:tcW w:w="780" w:type="dxa"/>
            <w:tcBorders>
              <w:top w:val="nil"/>
              <w:left w:val="nil"/>
              <w:bottom w:val="single" w:sz="4" w:space="0" w:color="auto"/>
              <w:right w:val="single" w:sz="4" w:space="0" w:color="auto"/>
            </w:tcBorders>
            <w:noWrap/>
            <w:vAlign w:val="bottom"/>
            <w:hideMark/>
          </w:tcPr>
          <w:p w:rsidR="000527A3" w:rsidRDefault="000527A3">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546</w:t>
            </w:r>
          </w:p>
        </w:tc>
        <w:tc>
          <w:tcPr>
            <w:tcW w:w="860" w:type="dxa"/>
            <w:tcBorders>
              <w:top w:val="nil"/>
              <w:left w:val="nil"/>
              <w:bottom w:val="single" w:sz="4" w:space="0" w:color="auto"/>
              <w:right w:val="single" w:sz="4" w:space="0" w:color="auto"/>
            </w:tcBorders>
            <w:noWrap/>
            <w:vAlign w:val="bottom"/>
            <w:hideMark/>
          </w:tcPr>
          <w:p w:rsidR="000527A3" w:rsidRDefault="000527A3">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513</w:t>
            </w:r>
          </w:p>
        </w:tc>
        <w:tc>
          <w:tcPr>
            <w:tcW w:w="820" w:type="dxa"/>
            <w:tcBorders>
              <w:top w:val="nil"/>
              <w:left w:val="nil"/>
              <w:bottom w:val="single" w:sz="4" w:space="0" w:color="auto"/>
              <w:right w:val="single" w:sz="4" w:space="0" w:color="auto"/>
            </w:tcBorders>
            <w:noWrap/>
            <w:vAlign w:val="bottom"/>
            <w:hideMark/>
          </w:tcPr>
          <w:p w:rsidR="000527A3" w:rsidRDefault="000527A3">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479</w:t>
            </w:r>
          </w:p>
        </w:tc>
        <w:tc>
          <w:tcPr>
            <w:tcW w:w="860" w:type="dxa"/>
            <w:tcBorders>
              <w:top w:val="nil"/>
              <w:left w:val="nil"/>
              <w:bottom w:val="single" w:sz="4" w:space="0" w:color="auto"/>
              <w:right w:val="single" w:sz="4" w:space="0" w:color="auto"/>
            </w:tcBorders>
            <w:noWrap/>
            <w:vAlign w:val="bottom"/>
            <w:hideMark/>
          </w:tcPr>
          <w:p w:rsidR="000527A3" w:rsidRDefault="000527A3">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464</w:t>
            </w:r>
          </w:p>
        </w:tc>
        <w:tc>
          <w:tcPr>
            <w:tcW w:w="800" w:type="dxa"/>
            <w:tcBorders>
              <w:top w:val="nil"/>
              <w:left w:val="nil"/>
              <w:bottom w:val="single" w:sz="4" w:space="0" w:color="auto"/>
              <w:right w:val="single" w:sz="4" w:space="0" w:color="auto"/>
            </w:tcBorders>
            <w:noWrap/>
            <w:vAlign w:val="bottom"/>
            <w:hideMark/>
          </w:tcPr>
          <w:p w:rsidR="000527A3" w:rsidRDefault="000527A3">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452</w:t>
            </w:r>
          </w:p>
        </w:tc>
        <w:tc>
          <w:tcPr>
            <w:tcW w:w="800" w:type="dxa"/>
            <w:tcBorders>
              <w:top w:val="nil"/>
              <w:left w:val="nil"/>
              <w:bottom w:val="single" w:sz="4" w:space="0" w:color="auto"/>
              <w:right w:val="single" w:sz="4" w:space="0" w:color="auto"/>
            </w:tcBorders>
            <w:noWrap/>
            <w:vAlign w:val="bottom"/>
            <w:hideMark/>
          </w:tcPr>
          <w:p w:rsidR="000527A3" w:rsidRDefault="000527A3">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-33</w:t>
            </w:r>
          </w:p>
        </w:tc>
        <w:tc>
          <w:tcPr>
            <w:tcW w:w="820" w:type="dxa"/>
            <w:tcBorders>
              <w:top w:val="nil"/>
              <w:left w:val="nil"/>
              <w:bottom w:val="single" w:sz="4" w:space="0" w:color="auto"/>
              <w:right w:val="single" w:sz="4" w:space="0" w:color="auto"/>
            </w:tcBorders>
            <w:noWrap/>
            <w:vAlign w:val="bottom"/>
            <w:hideMark/>
          </w:tcPr>
          <w:p w:rsidR="000527A3" w:rsidRDefault="000527A3">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-34</w:t>
            </w:r>
          </w:p>
        </w:tc>
        <w:tc>
          <w:tcPr>
            <w:tcW w:w="880" w:type="dxa"/>
            <w:tcBorders>
              <w:top w:val="nil"/>
              <w:left w:val="nil"/>
              <w:bottom w:val="single" w:sz="4" w:space="0" w:color="auto"/>
              <w:right w:val="single" w:sz="4" w:space="0" w:color="auto"/>
            </w:tcBorders>
            <w:noWrap/>
            <w:vAlign w:val="bottom"/>
            <w:hideMark/>
          </w:tcPr>
          <w:p w:rsidR="000527A3" w:rsidRDefault="000527A3">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-15</w:t>
            </w:r>
          </w:p>
        </w:tc>
        <w:tc>
          <w:tcPr>
            <w:tcW w:w="820" w:type="dxa"/>
            <w:tcBorders>
              <w:top w:val="nil"/>
              <w:left w:val="nil"/>
              <w:bottom w:val="single" w:sz="4" w:space="0" w:color="auto"/>
              <w:right w:val="single" w:sz="4" w:space="0" w:color="auto"/>
            </w:tcBorders>
            <w:noWrap/>
            <w:vAlign w:val="bottom"/>
            <w:hideMark/>
          </w:tcPr>
          <w:p w:rsidR="000527A3" w:rsidRDefault="000527A3">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-12</w:t>
            </w:r>
          </w:p>
        </w:tc>
        <w:tc>
          <w:tcPr>
            <w:tcW w:w="880" w:type="dxa"/>
            <w:tcBorders>
              <w:top w:val="nil"/>
              <w:left w:val="nil"/>
              <w:bottom w:val="single" w:sz="4" w:space="0" w:color="auto"/>
              <w:right w:val="single" w:sz="4" w:space="0" w:color="auto"/>
            </w:tcBorders>
            <w:noWrap/>
            <w:vAlign w:val="bottom"/>
            <w:hideMark/>
          </w:tcPr>
          <w:p w:rsidR="000527A3" w:rsidRDefault="000527A3">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-82</w:t>
            </w:r>
          </w:p>
        </w:tc>
      </w:tr>
      <w:tr w:rsidR="000527A3" w:rsidTr="000527A3">
        <w:trPr>
          <w:trHeight w:val="315"/>
        </w:trPr>
        <w:tc>
          <w:tcPr>
            <w:tcW w:w="1180" w:type="dxa"/>
            <w:tcBorders>
              <w:top w:val="nil"/>
              <w:left w:val="single" w:sz="4" w:space="0" w:color="auto"/>
              <w:bottom w:val="single" w:sz="4" w:space="0" w:color="auto"/>
              <w:right w:val="single" w:sz="4" w:space="0" w:color="auto"/>
            </w:tcBorders>
            <w:noWrap/>
            <w:vAlign w:val="bottom"/>
            <w:hideMark/>
          </w:tcPr>
          <w:p w:rsidR="000527A3" w:rsidRDefault="000527A3">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Viļaka </w:t>
            </w:r>
          </w:p>
        </w:tc>
        <w:tc>
          <w:tcPr>
            <w:tcW w:w="780" w:type="dxa"/>
            <w:tcBorders>
              <w:top w:val="nil"/>
              <w:left w:val="nil"/>
              <w:bottom w:val="single" w:sz="4" w:space="0" w:color="auto"/>
              <w:right w:val="single" w:sz="4" w:space="0" w:color="auto"/>
            </w:tcBorders>
            <w:noWrap/>
            <w:vAlign w:val="bottom"/>
            <w:hideMark/>
          </w:tcPr>
          <w:p w:rsidR="000527A3" w:rsidRDefault="000527A3">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1407</w:t>
            </w:r>
          </w:p>
        </w:tc>
        <w:tc>
          <w:tcPr>
            <w:tcW w:w="860" w:type="dxa"/>
            <w:tcBorders>
              <w:top w:val="nil"/>
              <w:left w:val="nil"/>
              <w:bottom w:val="single" w:sz="4" w:space="0" w:color="auto"/>
              <w:right w:val="single" w:sz="4" w:space="0" w:color="auto"/>
            </w:tcBorders>
            <w:noWrap/>
            <w:vAlign w:val="bottom"/>
            <w:hideMark/>
          </w:tcPr>
          <w:p w:rsidR="000527A3" w:rsidRDefault="000527A3">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1405</w:t>
            </w:r>
          </w:p>
        </w:tc>
        <w:tc>
          <w:tcPr>
            <w:tcW w:w="820" w:type="dxa"/>
            <w:tcBorders>
              <w:top w:val="nil"/>
              <w:left w:val="nil"/>
              <w:bottom w:val="single" w:sz="4" w:space="0" w:color="auto"/>
              <w:right w:val="single" w:sz="4" w:space="0" w:color="auto"/>
            </w:tcBorders>
            <w:noWrap/>
            <w:vAlign w:val="bottom"/>
            <w:hideMark/>
          </w:tcPr>
          <w:p w:rsidR="000527A3" w:rsidRDefault="000527A3">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1364</w:t>
            </w:r>
          </w:p>
        </w:tc>
        <w:tc>
          <w:tcPr>
            <w:tcW w:w="860" w:type="dxa"/>
            <w:tcBorders>
              <w:top w:val="nil"/>
              <w:left w:val="nil"/>
              <w:bottom w:val="single" w:sz="4" w:space="0" w:color="auto"/>
              <w:right w:val="single" w:sz="4" w:space="0" w:color="auto"/>
            </w:tcBorders>
            <w:noWrap/>
            <w:vAlign w:val="bottom"/>
            <w:hideMark/>
          </w:tcPr>
          <w:p w:rsidR="000527A3" w:rsidRDefault="000527A3">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1327</w:t>
            </w:r>
          </w:p>
        </w:tc>
        <w:tc>
          <w:tcPr>
            <w:tcW w:w="800" w:type="dxa"/>
            <w:tcBorders>
              <w:top w:val="nil"/>
              <w:left w:val="nil"/>
              <w:bottom w:val="single" w:sz="4" w:space="0" w:color="auto"/>
              <w:right w:val="single" w:sz="4" w:space="0" w:color="auto"/>
            </w:tcBorders>
            <w:noWrap/>
            <w:vAlign w:val="bottom"/>
            <w:hideMark/>
          </w:tcPr>
          <w:p w:rsidR="000527A3" w:rsidRDefault="000527A3">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1308</w:t>
            </w:r>
          </w:p>
        </w:tc>
        <w:tc>
          <w:tcPr>
            <w:tcW w:w="800" w:type="dxa"/>
            <w:tcBorders>
              <w:top w:val="nil"/>
              <w:left w:val="nil"/>
              <w:bottom w:val="single" w:sz="4" w:space="0" w:color="auto"/>
              <w:right w:val="single" w:sz="4" w:space="0" w:color="auto"/>
            </w:tcBorders>
            <w:noWrap/>
            <w:vAlign w:val="bottom"/>
            <w:hideMark/>
          </w:tcPr>
          <w:p w:rsidR="000527A3" w:rsidRDefault="000527A3">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p>
        </w:tc>
        <w:tc>
          <w:tcPr>
            <w:tcW w:w="820" w:type="dxa"/>
            <w:tcBorders>
              <w:top w:val="nil"/>
              <w:left w:val="nil"/>
              <w:bottom w:val="single" w:sz="4" w:space="0" w:color="auto"/>
              <w:right w:val="single" w:sz="4" w:space="0" w:color="auto"/>
            </w:tcBorders>
            <w:noWrap/>
            <w:vAlign w:val="bottom"/>
            <w:hideMark/>
          </w:tcPr>
          <w:p w:rsidR="000527A3" w:rsidRDefault="000527A3">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-41</w:t>
            </w:r>
          </w:p>
        </w:tc>
        <w:tc>
          <w:tcPr>
            <w:tcW w:w="880" w:type="dxa"/>
            <w:tcBorders>
              <w:top w:val="nil"/>
              <w:left w:val="nil"/>
              <w:bottom w:val="single" w:sz="4" w:space="0" w:color="auto"/>
              <w:right w:val="single" w:sz="4" w:space="0" w:color="auto"/>
            </w:tcBorders>
            <w:noWrap/>
            <w:vAlign w:val="bottom"/>
            <w:hideMark/>
          </w:tcPr>
          <w:p w:rsidR="000527A3" w:rsidRDefault="000527A3">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-37</w:t>
            </w:r>
          </w:p>
        </w:tc>
        <w:tc>
          <w:tcPr>
            <w:tcW w:w="820" w:type="dxa"/>
            <w:tcBorders>
              <w:top w:val="nil"/>
              <w:left w:val="nil"/>
              <w:bottom w:val="single" w:sz="4" w:space="0" w:color="auto"/>
              <w:right w:val="single" w:sz="4" w:space="0" w:color="auto"/>
            </w:tcBorders>
            <w:noWrap/>
            <w:vAlign w:val="bottom"/>
            <w:hideMark/>
          </w:tcPr>
          <w:p w:rsidR="000527A3" w:rsidRDefault="000527A3">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-19</w:t>
            </w:r>
          </w:p>
        </w:tc>
        <w:tc>
          <w:tcPr>
            <w:tcW w:w="880" w:type="dxa"/>
            <w:tcBorders>
              <w:top w:val="nil"/>
              <w:left w:val="nil"/>
              <w:bottom w:val="single" w:sz="4" w:space="0" w:color="auto"/>
              <w:right w:val="single" w:sz="4" w:space="0" w:color="auto"/>
            </w:tcBorders>
            <w:noWrap/>
            <w:vAlign w:val="bottom"/>
            <w:hideMark/>
          </w:tcPr>
          <w:p w:rsidR="000527A3" w:rsidRDefault="000527A3">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-80</w:t>
            </w:r>
          </w:p>
        </w:tc>
      </w:tr>
      <w:tr w:rsidR="000527A3" w:rsidTr="000527A3">
        <w:trPr>
          <w:trHeight w:val="315"/>
        </w:trPr>
        <w:tc>
          <w:tcPr>
            <w:tcW w:w="1180" w:type="dxa"/>
            <w:tcBorders>
              <w:top w:val="nil"/>
              <w:left w:val="single" w:sz="4" w:space="0" w:color="auto"/>
              <w:bottom w:val="single" w:sz="4" w:space="0" w:color="auto"/>
              <w:right w:val="single" w:sz="4" w:space="0" w:color="auto"/>
            </w:tcBorders>
            <w:noWrap/>
            <w:vAlign w:val="bottom"/>
            <w:hideMark/>
          </w:tcPr>
          <w:p w:rsidR="000527A3" w:rsidRDefault="000527A3">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Žīguri</w:t>
            </w:r>
          </w:p>
        </w:tc>
        <w:tc>
          <w:tcPr>
            <w:tcW w:w="780" w:type="dxa"/>
            <w:tcBorders>
              <w:top w:val="nil"/>
              <w:left w:val="nil"/>
              <w:bottom w:val="single" w:sz="4" w:space="0" w:color="auto"/>
              <w:right w:val="single" w:sz="4" w:space="0" w:color="auto"/>
            </w:tcBorders>
            <w:noWrap/>
            <w:vAlign w:val="bottom"/>
            <w:hideMark/>
          </w:tcPr>
          <w:p w:rsidR="000527A3" w:rsidRDefault="000527A3">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694</w:t>
            </w:r>
          </w:p>
        </w:tc>
        <w:tc>
          <w:tcPr>
            <w:tcW w:w="860" w:type="dxa"/>
            <w:tcBorders>
              <w:top w:val="nil"/>
              <w:left w:val="nil"/>
              <w:bottom w:val="single" w:sz="4" w:space="0" w:color="auto"/>
              <w:right w:val="single" w:sz="4" w:space="0" w:color="auto"/>
            </w:tcBorders>
            <w:noWrap/>
            <w:vAlign w:val="bottom"/>
            <w:hideMark/>
          </w:tcPr>
          <w:p w:rsidR="000527A3" w:rsidRDefault="000527A3">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684</w:t>
            </w:r>
          </w:p>
        </w:tc>
        <w:tc>
          <w:tcPr>
            <w:tcW w:w="820" w:type="dxa"/>
            <w:tcBorders>
              <w:top w:val="nil"/>
              <w:left w:val="nil"/>
              <w:bottom w:val="single" w:sz="4" w:space="0" w:color="auto"/>
              <w:right w:val="single" w:sz="4" w:space="0" w:color="auto"/>
            </w:tcBorders>
            <w:noWrap/>
            <w:vAlign w:val="bottom"/>
            <w:hideMark/>
          </w:tcPr>
          <w:p w:rsidR="000527A3" w:rsidRDefault="000527A3">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645</w:t>
            </w:r>
          </w:p>
        </w:tc>
        <w:tc>
          <w:tcPr>
            <w:tcW w:w="860" w:type="dxa"/>
            <w:tcBorders>
              <w:top w:val="nil"/>
              <w:left w:val="nil"/>
              <w:bottom w:val="single" w:sz="4" w:space="0" w:color="auto"/>
              <w:right w:val="single" w:sz="4" w:space="0" w:color="auto"/>
            </w:tcBorders>
            <w:noWrap/>
            <w:vAlign w:val="bottom"/>
            <w:hideMark/>
          </w:tcPr>
          <w:p w:rsidR="000527A3" w:rsidRDefault="000527A3">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612</w:t>
            </w:r>
          </w:p>
        </w:tc>
        <w:tc>
          <w:tcPr>
            <w:tcW w:w="800" w:type="dxa"/>
            <w:tcBorders>
              <w:top w:val="nil"/>
              <w:left w:val="nil"/>
              <w:bottom w:val="single" w:sz="4" w:space="0" w:color="auto"/>
              <w:right w:val="single" w:sz="4" w:space="0" w:color="auto"/>
            </w:tcBorders>
            <w:noWrap/>
            <w:vAlign w:val="bottom"/>
            <w:hideMark/>
          </w:tcPr>
          <w:p w:rsidR="000527A3" w:rsidRDefault="000527A3">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609</w:t>
            </w:r>
          </w:p>
        </w:tc>
        <w:tc>
          <w:tcPr>
            <w:tcW w:w="800" w:type="dxa"/>
            <w:tcBorders>
              <w:top w:val="nil"/>
              <w:left w:val="nil"/>
              <w:bottom w:val="single" w:sz="4" w:space="0" w:color="auto"/>
              <w:right w:val="single" w:sz="4" w:space="0" w:color="auto"/>
            </w:tcBorders>
            <w:noWrap/>
            <w:vAlign w:val="bottom"/>
            <w:hideMark/>
          </w:tcPr>
          <w:p w:rsidR="000527A3" w:rsidRDefault="000527A3">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-10</w:t>
            </w:r>
          </w:p>
        </w:tc>
        <w:tc>
          <w:tcPr>
            <w:tcW w:w="820" w:type="dxa"/>
            <w:tcBorders>
              <w:top w:val="nil"/>
              <w:left w:val="nil"/>
              <w:bottom w:val="single" w:sz="4" w:space="0" w:color="auto"/>
              <w:right w:val="single" w:sz="4" w:space="0" w:color="auto"/>
            </w:tcBorders>
            <w:noWrap/>
            <w:vAlign w:val="bottom"/>
            <w:hideMark/>
          </w:tcPr>
          <w:p w:rsidR="000527A3" w:rsidRDefault="000527A3">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-39</w:t>
            </w:r>
          </w:p>
        </w:tc>
        <w:tc>
          <w:tcPr>
            <w:tcW w:w="880" w:type="dxa"/>
            <w:tcBorders>
              <w:top w:val="nil"/>
              <w:left w:val="nil"/>
              <w:bottom w:val="single" w:sz="4" w:space="0" w:color="auto"/>
              <w:right w:val="single" w:sz="4" w:space="0" w:color="auto"/>
            </w:tcBorders>
            <w:noWrap/>
            <w:vAlign w:val="bottom"/>
            <w:hideMark/>
          </w:tcPr>
          <w:p w:rsidR="000527A3" w:rsidRDefault="000527A3">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-33</w:t>
            </w:r>
          </w:p>
        </w:tc>
        <w:tc>
          <w:tcPr>
            <w:tcW w:w="820" w:type="dxa"/>
            <w:tcBorders>
              <w:top w:val="nil"/>
              <w:left w:val="nil"/>
              <w:bottom w:val="single" w:sz="4" w:space="0" w:color="auto"/>
              <w:right w:val="single" w:sz="4" w:space="0" w:color="auto"/>
            </w:tcBorders>
            <w:noWrap/>
            <w:vAlign w:val="bottom"/>
            <w:hideMark/>
          </w:tcPr>
          <w:p w:rsidR="000527A3" w:rsidRDefault="000527A3">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p>
        </w:tc>
        <w:tc>
          <w:tcPr>
            <w:tcW w:w="880" w:type="dxa"/>
            <w:tcBorders>
              <w:top w:val="nil"/>
              <w:left w:val="nil"/>
              <w:bottom w:val="single" w:sz="4" w:space="0" w:color="auto"/>
              <w:right w:val="single" w:sz="4" w:space="0" w:color="auto"/>
            </w:tcBorders>
            <w:noWrap/>
            <w:vAlign w:val="bottom"/>
            <w:hideMark/>
          </w:tcPr>
          <w:p w:rsidR="000527A3" w:rsidRDefault="000527A3">
            <w:pPr>
              <w:spacing w:after="0" w:line="240" w:lineRule="auto"/>
              <w:jc w:val="right"/>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-82</w:t>
            </w:r>
          </w:p>
        </w:tc>
      </w:tr>
      <w:tr w:rsidR="000527A3" w:rsidTr="000527A3">
        <w:trPr>
          <w:trHeight w:val="315"/>
        </w:trPr>
        <w:tc>
          <w:tcPr>
            <w:tcW w:w="1180" w:type="dxa"/>
            <w:tcBorders>
              <w:top w:val="nil"/>
              <w:left w:val="single" w:sz="4" w:space="0" w:color="auto"/>
              <w:bottom w:val="single" w:sz="4" w:space="0" w:color="auto"/>
              <w:right w:val="single" w:sz="4" w:space="0" w:color="auto"/>
            </w:tcBorders>
            <w:noWrap/>
            <w:vAlign w:val="bottom"/>
            <w:hideMark/>
          </w:tcPr>
          <w:p w:rsidR="000527A3" w:rsidRDefault="000527A3">
            <w:pPr>
              <w:spacing w:after="0" w:line="240" w:lineRule="auto"/>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Kopā</w:t>
            </w:r>
          </w:p>
        </w:tc>
        <w:tc>
          <w:tcPr>
            <w:tcW w:w="780" w:type="dxa"/>
            <w:tcBorders>
              <w:top w:val="nil"/>
              <w:left w:val="nil"/>
              <w:bottom w:val="single" w:sz="4" w:space="0" w:color="auto"/>
              <w:right w:val="single" w:sz="4" w:space="0" w:color="auto"/>
            </w:tcBorders>
            <w:noWrap/>
            <w:vAlign w:val="bottom"/>
            <w:hideMark/>
          </w:tcPr>
          <w:p w:rsidR="000527A3" w:rsidRDefault="000527A3">
            <w:pPr>
              <w:spacing w:after="0" w:line="240" w:lineRule="auto"/>
              <w:jc w:val="right"/>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5498</w:t>
            </w:r>
          </w:p>
        </w:tc>
        <w:tc>
          <w:tcPr>
            <w:tcW w:w="860" w:type="dxa"/>
            <w:tcBorders>
              <w:top w:val="nil"/>
              <w:left w:val="nil"/>
              <w:bottom w:val="single" w:sz="4" w:space="0" w:color="auto"/>
              <w:right w:val="single" w:sz="4" w:space="0" w:color="auto"/>
            </w:tcBorders>
            <w:noWrap/>
            <w:vAlign w:val="bottom"/>
            <w:hideMark/>
          </w:tcPr>
          <w:p w:rsidR="000527A3" w:rsidRDefault="000527A3">
            <w:pPr>
              <w:spacing w:after="0" w:line="240" w:lineRule="auto"/>
              <w:jc w:val="right"/>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5389</w:t>
            </w:r>
          </w:p>
        </w:tc>
        <w:tc>
          <w:tcPr>
            <w:tcW w:w="820" w:type="dxa"/>
            <w:tcBorders>
              <w:top w:val="nil"/>
              <w:left w:val="nil"/>
              <w:bottom w:val="single" w:sz="4" w:space="0" w:color="auto"/>
              <w:right w:val="single" w:sz="4" w:space="0" w:color="auto"/>
            </w:tcBorders>
            <w:noWrap/>
            <w:vAlign w:val="bottom"/>
            <w:hideMark/>
          </w:tcPr>
          <w:p w:rsidR="000527A3" w:rsidRDefault="000527A3">
            <w:pPr>
              <w:spacing w:after="0" w:line="240" w:lineRule="auto"/>
              <w:jc w:val="right"/>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5158</w:t>
            </w:r>
          </w:p>
        </w:tc>
        <w:tc>
          <w:tcPr>
            <w:tcW w:w="860" w:type="dxa"/>
            <w:tcBorders>
              <w:top w:val="nil"/>
              <w:left w:val="nil"/>
              <w:bottom w:val="single" w:sz="4" w:space="0" w:color="auto"/>
              <w:right w:val="single" w:sz="4" w:space="0" w:color="auto"/>
            </w:tcBorders>
            <w:noWrap/>
            <w:vAlign w:val="bottom"/>
            <w:hideMark/>
          </w:tcPr>
          <w:p w:rsidR="000527A3" w:rsidRDefault="000527A3">
            <w:pPr>
              <w:spacing w:after="0" w:line="240" w:lineRule="auto"/>
              <w:jc w:val="right"/>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4996</w:t>
            </w:r>
          </w:p>
        </w:tc>
        <w:tc>
          <w:tcPr>
            <w:tcW w:w="800" w:type="dxa"/>
            <w:tcBorders>
              <w:top w:val="nil"/>
              <w:left w:val="nil"/>
              <w:bottom w:val="single" w:sz="4" w:space="0" w:color="auto"/>
              <w:right w:val="single" w:sz="4" w:space="0" w:color="auto"/>
            </w:tcBorders>
            <w:noWrap/>
            <w:vAlign w:val="bottom"/>
            <w:hideMark/>
          </w:tcPr>
          <w:p w:rsidR="000527A3" w:rsidRDefault="000527A3">
            <w:pPr>
              <w:spacing w:after="0" w:line="240" w:lineRule="auto"/>
              <w:jc w:val="right"/>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4908</w:t>
            </w:r>
          </w:p>
        </w:tc>
        <w:tc>
          <w:tcPr>
            <w:tcW w:w="800" w:type="dxa"/>
            <w:tcBorders>
              <w:top w:val="nil"/>
              <w:left w:val="nil"/>
              <w:bottom w:val="single" w:sz="4" w:space="0" w:color="auto"/>
              <w:right w:val="single" w:sz="4" w:space="0" w:color="auto"/>
            </w:tcBorders>
            <w:noWrap/>
            <w:vAlign w:val="bottom"/>
            <w:hideMark/>
          </w:tcPr>
          <w:p w:rsidR="000527A3" w:rsidRDefault="000527A3">
            <w:pPr>
              <w:spacing w:after="0" w:line="240" w:lineRule="auto"/>
              <w:jc w:val="right"/>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-109</w:t>
            </w:r>
          </w:p>
        </w:tc>
        <w:tc>
          <w:tcPr>
            <w:tcW w:w="820" w:type="dxa"/>
            <w:tcBorders>
              <w:top w:val="nil"/>
              <w:left w:val="nil"/>
              <w:bottom w:val="single" w:sz="4" w:space="0" w:color="auto"/>
              <w:right w:val="single" w:sz="4" w:space="0" w:color="auto"/>
            </w:tcBorders>
            <w:noWrap/>
            <w:vAlign w:val="bottom"/>
            <w:hideMark/>
          </w:tcPr>
          <w:p w:rsidR="000527A3" w:rsidRDefault="000527A3">
            <w:pPr>
              <w:spacing w:after="0" w:line="240" w:lineRule="auto"/>
              <w:jc w:val="right"/>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-231</w:t>
            </w:r>
          </w:p>
        </w:tc>
        <w:tc>
          <w:tcPr>
            <w:tcW w:w="880" w:type="dxa"/>
            <w:tcBorders>
              <w:top w:val="nil"/>
              <w:left w:val="nil"/>
              <w:bottom w:val="single" w:sz="4" w:space="0" w:color="auto"/>
              <w:right w:val="single" w:sz="4" w:space="0" w:color="auto"/>
            </w:tcBorders>
            <w:noWrap/>
            <w:vAlign w:val="bottom"/>
            <w:hideMark/>
          </w:tcPr>
          <w:p w:rsidR="000527A3" w:rsidRDefault="000527A3">
            <w:pPr>
              <w:spacing w:after="0" w:line="240" w:lineRule="auto"/>
              <w:jc w:val="right"/>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-162</w:t>
            </w:r>
          </w:p>
        </w:tc>
        <w:tc>
          <w:tcPr>
            <w:tcW w:w="820" w:type="dxa"/>
            <w:tcBorders>
              <w:top w:val="nil"/>
              <w:left w:val="nil"/>
              <w:bottom w:val="single" w:sz="4" w:space="0" w:color="auto"/>
              <w:right w:val="single" w:sz="4" w:space="0" w:color="auto"/>
            </w:tcBorders>
            <w:noWrap/>
            <w:vAlign w:val="bottom"/>
            <w:hideMark/>
          </w:tcPr>
          <w:p w:rsidR="000527A3" w:rsidRDefault="000527A3">
            <w:pPr>
              <w:spacing w:after="0" w:line="240" w:lineRule="auto"/>
              <w:jc w:val="right"/>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-88</w:t>
            </w:r>
          </w:p>
        </w:tc>
        <w:tc>
          <w:tcPr>
            <w:tcW w:w="880" w:type="dxa"/>
            <w:tcBorders>
              <w:top w:val="nil"/>
              <w:left w:val="nil"/>
              <w:bottom w:val="single" w:sz="4" w:space="0" w:color="auto"/>
              <w:right w:val="single" w:sz="4" w:space="0" w:color="auto"/>
            </w:tcBorders>
            <w:noWrap/>
            <w:vAlign w:val="bottom"/>
            <w:hideMark/>
          </w:tcPr>
          <w:p w:rsidR="000527A3" w:rsidRDefault="000527A3">
            <w:pPr>
              <w:spacing w:after="0" w:line="240" w:lineRule="auto"/>
              <w:jc w:val="right"/>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-590</w:t>
            </w:r>
          </w:p>
        </w:tc>
      </w:tr>
    </w:tbl>
    <w:p w:rsidR="000527A3" w:rsidRDefault="000527A3" w:rsidP="000527A3">
      <w:pPr>
        <w:spacing w:after="0" w:line="240" w:lineRule="auto"/>
        <w:ind w:firstLine="567"/>
        <w:jc w:val="right"/>
        <w:rPr>
          <w:rFonts w:ascii="Times New Roman" w:hAnsi="Times New Roman" w:cs="Times New Roman"/>
          <w:sz w:val="20"/>
          <w:szCs w:val="20"/>
        </w:rPr>
      </w:pPr>
      <w:r>
        <w:rPr>
          <w:rFonts w:ascii="Times New Roman" w:hAnsi="Times New Roman" w:cs="Times New Roman"/>
          <w:sz w:val="20"/>
          <w:szCs w:val="20"/>
        </w:rPr>
        <w:t>Avots: PMLP dati</w:t>
      </w:r>
    </w:p>
    <w:p w:rsidR="000527A3" w:rsidRDefault="000527A3" w:rsidP="000527A3">
      <w:pPr>
        <w:spacing w:after="0" w:line="240" w:lineRule="auto"/>
        <w:ind w:firstLine="567"/>
        <w:jc w:val="both"/>
        <w:rPr>
          <w:rFonts w:ascii="Times New Roman" w:hAnsi="Times New Roman" w:cs="Times New Roman"/>
          <w:sz w:val="24"/>
          <w:szCs w:val="24"/>
        </w:rPr>
      </w:pPr>
    </w:p>
    <w:p w:rsidR="000527A3" w:rsidRDefault="000527A3" w:rsidP="000527A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Iedzīvotāju skaits pēdējos piecos gados samazinās vidēji par 118 iedzīvotājiem gadā, savukārt salīdzinot ar 2016.gadu iedzīvotāju skaits samazinājies 10.73%.</w:t>
      </w:r>
    </w:p>
    <w:p w:rsidR="000527A3" w:rsidRDefault="000527A3" w:rsidP="000527A3">
      <w:pPr>
        <w:spacing w:after="0" w:line="240" w:lineRule="auto"/>
        <w:ind w:firstLine="567"/>
        <w:jc w:val="both"/>
        <w:rPr>
          <w:rFonts w:ascii="Times New Roman" w:hAnsi="Times New Roman" w:cs="Times New Roman"/>
          <w:sz w:val="24"/>
          <w:szCs w:val="24"/>
        </w:rPr>
      </w:pPr>
    </w:p>
    <w:p w:rsidR="000527A3" w:rsidRDefault="000527A3" w:rsidP="000527A3">
      <w:pPr>
        <w:spacing w:after="0" w:line="240" w:lineRule="auto"/>
        <w:ind w:firstLine="567"/>
        <w:jc w:val="center"/>
        <w:rPr>
          <w:rFonts w:ascii="Times New Roman" w:hAnsi="Times New Roman" w:cs="Times New Roman"/>
          <w:sz w:val="24"/>
          <w:szCs w:val="24"/>
        </w:rPr>
      </w:pPr>
      <w:r>
        <w:rPr>
          <w:noProof/>
          <w:lang w:eastAsia="lv-LV"/>
        </w:rPr>
        <w:drawing>
          <wp:inline distT="0" distB="0" distL="0" distR="0">
            <wp:extent cx="4581525" cy="2752725"/>
            <wp:effectExtent l="0" t="0" r="9525" b="9525"/>
            <wp:docPr id="2" name="Diagramma 2"/>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0527A3" w:rsidRDefault="000527A3" w:rsidP="000527A3">
      <w:pPr>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Iedzīvotāju skaits Viļakas novadā 2016.gads-2020.gads</w:t>
      </w:r>
    </w:p>
    <w:p w:rsidR="000527A3" w:rsidRDefault="000527A3" w:rsidP="000527A3">
      <w:pPr>
        <w:spacing w:after="0" w:line="240" w:lineRule="auto"/>
        <w:ind w:firstLine="567"/>
        <w:jc w:val="right"/>
        <w:rPr>
          <w:rFonts w:ascii="Times New Roman" w:hAnsi="Times New Roman" w:cs="Times New Roman"/>
          <w:sz w:val="20"/>
          <w:szCs w:val="20"/>
        </w:rPr>
      </w:pPr>
      <w:r>
        <w:rPr>
          <w:rFonts w:ascii="Times New Roman" w:hAnsi="Times New Roman" w:cs="Times New Roman"/>
          <w:sz w:val="20"/>
          <w:szCs w:val="20"/>
        </w:rPr>
        <w:t>Avots: PMLP dati</w:t>
      </w:r>
    </w:p>
    <w:p w:rsidR="000527A3" w:rsidRDefault="000527A3" w:rsidP="000527A3">
      <w:pPr>
        <w:spacing w:after="0" w:line="240" w:lineRule="auto"/>
        <w:ind w:firstLine="567"/>
        <w:jc w:val="right"/>
        <w:rPr>
          <w:rFonts w:ascii="Times New Roman" w:hAnsi="Times New Roman" w:cs="Times New Roman"/>
          <w:b/>
          <w:sz w:val="24"/>
          <w:szCs w:val="24"/>
        </w:rPr>
      </w:pPr>
    </w:p>
    <w:p w:rsidR="000527A3" w:rsidRDefault="000527A3" w:rsidP="000527A3">
      <w:pPr>
        <w:spacing w:after="0" w:line="240" w:lineRule="auto"/>
        <w:ind w:firstLine="567"/>
        <w:jc w:val="center"/>
        <w:rPr>
          <w:rFonts w:ascii="Times New Roman" w:hAnsi="Times New Roman" w:cs="Times New Roman"/>
          <w:b/>
          <w:sz w:val="24"/>
          <w:szCs w:val="24"/>
        </w:rPr>
      </w:pPr>
    </w:p>
    <w:p w:rsidR="000527A3" w:rsidRDefault="000527A3" w:rsidP="000527A3">
      <w:pPr>
        <w:spacing w:after="0" w:line="240" w:lineRule="auto"/>
        <w:ind w:firstLine="567"/>
        <w:jc w:val="center"/>
        <w:rPr>
          <w:rFonts w:ascii="Times New Roman" w:hAnsi="Times New Roman" w:cs="Times New Roman"/>
          <w:b/>
          <w:sz w:val="24"/>
          <w:szCs w:val="24"/>
        </w:rPr>
      </w:pPr>
    </w:p>
    <w:p w:rsidR="000527A3" w:rsidRDefault="000527A3" w:rsidP="000527A3">
      <w:pPr>
        <w:spacing w:after="0" w:line="240" w:lineRule="auto"/>
        <w:ind w:firstLine="567"/>
        <w:jc w:val="center"/>
        <w:rPr>
          <w:rFonts w:ascii="Times New Roman" w:hAnsi="Times New Roman" w:cs="Times New Roman"/>
          <w:b/>
          <w:sz w:val="24"/>
          <w:szCs w:val="24"/>
        </w:rPr>
      </w:pPr>
    </w:p>
    <w:p w:rsidR="000527A3" w:rsidRDefault="000527A3" w:rsidP="000527A3">
      <w:pPr>
        <w:spacing w:after="0" w:line="240" w:lineRule="auto"/>
        <w:ind w:firstLine="567"/>
        <w:jc w:val="right"/>
        <w:rPr>
          <w:rFonts w:ascii="Times New Roman" w:hAnsi="Times New Roman" w:cs="Times New Roman"/>
          <w:sz w:val="20"/>
          <w:szCs w:val="20"/>
        </w:rPr>
      </w:pPr>
      <w:r>
        <w:rPr>
          <w:rFonts w:ascii="Times New Roman" w:hAnsi="Times New Roman" w:cs="Times New Roman"/>
          <w:sz w:val="20"/>
          <w:szCs w:val="20"/>
        </w:rPr>
        <w:t xml:space="preserve"> </w:t>
      </w:r>
    </w:p>
    <w:p w:rsidR="000527A3" w:rsidRDefault="000527A3" w:rsidP="000527A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Viļakas novada Dzimtsarakstu nodaļas  statistikas dati liecina, ka 2019.gadā novadā reģistrēti 39 jaundzimušie un 94 mirušie,  2018.gadā - 29 jaundzimušie un 120 mirušie, 2017.gadā - 30 jaundzimušie un 113 mirušie. Šie dati norāda uz negatīvu iedzīvotāju pieauguma koeficientu, kas liecina par iedzīvotāju skaita samazināšanos arī turpmākajos gados.</w:t>
      </w:r>
    </w:p>
    <w:p w:rsidR="000527A3" w:rsidRDefault="000527A3" w:rsidP="000527A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Bezdarba līmenis Viļakas novadā pēc Nodarbinātības valsts aģentūras informācijas uz 2019.gada 31.decembri sasniedza 10.3% (t.i. reģistrēti 303 bezdarbnieki). Bezdarba līmenis Latgalē – 10.3%, valstī - 4.9%.</w:t>
      </w:r>
    </w:p>
    <w:p w:rsidR="000527A3" w:rsidRDefault="000527A3" w:rsidP="000527A3">
      <w:pPr>
        <w:spacing w:after="0" w:line="240" w:lineRule="auto"/>
        <w:ind w:firstLine="567"/>
        <w:jc w:val="both"/>
        <w:rPr>
          <w:rFonts w:ascii="Times New Roman" w:hAnsi="Times New Roman" w:cs="Times New Roman"/>
          <w:sz w:val="24"/>
          <w:szCs w:val="24"/>
        </w:rPr>
      </w:pPr>
    </w:p>
    <w:p w:rsidR="000527A3" w:rsidRDefault="000527A3" w:rsidP="000527A3">
      <w:pPr>
        <w:spacing w:after="0" w:line="240" w:lineRule="auto"/>
        <w:ind w:firstLine="567"/>
        <w:jc w:val="center"/>
        <w:rPr>
          <w:rFonts w:ascii="Times New Roman" w:hAnsi="Times New Roman" w:cs="Times New Roman"/>
          <w:sz w:val="24"/>
          <w:szCs w:val="24"/>
        </w:rPr>
      </w:pPr>
      <w:r>
        <w:rPr>
          <w:noProof/>
          <w:lang w:eastAsia="lv-LV"/>
        </w:rPr>
        <w:drawing>
          <wp:inline distT="0" distB="0" distL="0" distR="0">
            <wp:extent cx="4581525" cy="2752725"/>
            <wp:effectExtent l="0" t="0" r="9525" b="9525"/>
            <wp:docPr id="5" name="Diagramma 5"/>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0527A3" w:rsidRDefault="000527A3" w:rsidP="000527A3">
      <w:pPr>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Bezdarba līmenis Viļakas novadā 2016.-2020.gads, %</w:t>
      </w:r>
    </w:p>
    <w:p w:rsidR="000527A3" w:rsidRDefault="000527A3" w:rsidP="000527A3">
      <w:pPr>
        <w:spacing w:after="0" w:line="240" w:lineRule="auto"/>
        <w:ind w:firstLine="567"/>
        <w:jc w:val="right"/>
        <w:rPr>
          <w:rFonts w:ascii="Times New Roman" w:hAnsi="Times New Roman" w:cs="Times New Roman"/>
          <w:sz w:val="20"/>
          <w:szCs w:val="20"/>
        </w:rPr>
      </w:pPr>
      <w:r>
        <w:rPr>
          <w:rFonts w:ascii="Times New Roman" w:hAnsi="Times New Roman" w:cs="Times New Roman"/>
          <w:sz w:val="20"/>
          <w:szCs w:val="20"/>
        </w:rPr>
        <w:t>Avots: NVA dati</w:t>
      </w:r>
    </w:p>
    <w:p w:rsidR="000527A3" w:rsidRDefault="000527A3" w:rsidP="000527A3">
      <w:pPr>
        <w:spacing w:after="0" w:line="240" w:lineRule="auto"/>
        <w:ind w:firstLine="567"/>
        <w:jc w:val="center"/>
        <w:rPr>
          <w:rFonts w:ascii="Times New Roman" w:hAnsi="Times New Roman" w:cs="Times New Roman"/>
          <w:sz w:val="20"/>
          <w:szCs w:val="20"/>
        </w:rPr>
      </w:pPr>
    </w:p>
    <w:p w:rsidR="000527A3" w:rsidRDefault="000527A3" w:rsidP="000527A3">
      <w:pPr>
        <w:spacing w:after="0" w:line="240" w:lineRule="auto"/>
        <w:ind w:firstLine="567"/>
        <w:jc w:val="center"/>
        <w:rPr>
          <w:rFonts w:ascii="Times New Roman" w:hAnsi="Times New Roman" w:cs="Times New Roman"/>
          <w:sz w:val="20"/>
          <w:szCs w:val="20"/>
        </w:rPr>
      </w:pPr>
    </w:p>
    <w:p w:rsidR="000527A3" w:rsidRDefault="000527A3" w:rsidP="000527A3">
      <w:pPr>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 xml:space="preserve">Bezdarbnieku sadalījums pēc </w:t>
      </w:r>
      <w:proofErr w:type="spellStart"/>
      <w:r>
        <w:rPr>
          <w:rFonts w:ascii="Times New Roman" w:hAnsi="Times New Roman" w:cs="Times New Roman"/>
          <w:b/>
          <w:sz w:val="24"/>
          <w:szCs w:val="24"/>
        </w:rPr>
        <w:t>problēmgrupām</w:t>
      </w:r>
      <w:proofErr w:type="spellEnd"/>
      <w:r>
        <w:rPr>
          <w:rFonts w:ascii="Times New Roman" w:hAnsi="Times New Roman" w:cs="Times New Roman"/>
          <w:b/>
          <w:sz w:val="24"/>
          <w:szCs w:val="24"/>
        </w:rPr>
        <w:t xml:space="preserve"> Viļakas novadā</w:t>
      </w:r>
    </w:p>
    <w:p w:rsidR="000527A3" w:rsidRDefault="000527A3" w:rsidP="000527A3">
      <w:pPr>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 xml:space="preserve"> uz 2019.gada 31.decembri</w:t>
      </w:r>
    </w:p>
    <w:tbl>
      <w:tblPr>
        <w:tblStyle w:val="Reatabula"/>
        <w:tblW w:w="0" w:type="auto"/>
        <w:jc w:val="center"/>
        <w:tblInd w:w="0" w:type="dxa"/>
        <w:tblLook w:val="04A0" w:firstRow="1" w:lastRow="0" w:firstColumn="1" w:lastColumn="0" w:noHBand="0" w:noVBand="1"/>
      </w:tblPr>
      <w:tblGrid>
        <w:gridCol w:w="3192"/>
        <w:gridCol w:w="2445"/>
      </w:tblGrid>
      <w:tr w:rsidR="000527A3" w:rsidTr="000527A3">
        <w:trPr>
          <w:jc w:val="center"/>
        </w:trPr>
        <w:tc>
          <w:tcPr>
            <w:tcW w:w="3192" w:type="dxa"/>
            <w:tcBorders>
              <w:top w:val="single" w:sz="4" w:space="0" w:color="auto"/>
              <w:left w:val="single" w:sz="4" w:space="0" w:color="auto"/>
              <w:bottom w:val="single" w:sz="4" w:space="0" w:color="auto"/>
              <w:right w:val="single" w:sz="4" w:space="0" w:color="auto"/>
            </w:tcBorders>
            <w:hideMark/>
          </w:tcPr>
          <w:p w:rsidR="000527A3" w:rsidRDefault="000527A3">
            <w:pPr>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Reģistrēti bezdarbnieki</w:t>
            </w:r>
          </w:p>
        </w:tc>
        <w:tc>
          <w:tcPr>
            <w:tcW w:w="2445" w:type="dxa"/>
            <w:tcBorders>
              <w:top w:val="single" w:sz="4" w:space="0" w:color="auto"/>
              <w:left w:val="single" w:sz="4" w:space="0" w:color="auto"/>
              <w:bottom w:val="single" w:sz="4" w:space="0" w:color="auto"/>
              <w:right w:val="single" w:sz="4" w:space="0" w:color="auto"/>
            </w:tcBorders>
            <w:hideMark/>
          </w:tcPr>
          <w:p w:rsidR="000527A3" w:rsidRDefault="000527A3">
            <w:pPr>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303</w:t>
            </w:r>
          </w:p>
        </w:tc>
      </w:tr>
      <w:tr w:rsidR="000527A3" w:rsidTr="000527A3">
        <w:trPr>
          <w:jc w:val="center"/>
        </w:trPr>
        <w:tc>
          <w:tcPr>
            <w:tcW w:w="3192" w:type="dxa"/>
            <w:tcBorders>
              <w:top w:val="single" w:sz="4" w:space="0" w:color="auto"/>
              <w:left w:val="single" w:sz="4" w:space="0" w:color="auto"/>
              <w:bottom w:val="single" w:sz="4" w:space="0" w:color="auto"/>
              <w:right w:val="single" w:sz="4" w:space="0" w:color="auto"/>
            </w:tcBorders>
            <w:hideMark/>
          </w:tcPr>
          <w:p w:rsidR="000527A3" w:rsidRDefault="000527A3">
            <w:pPr>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t.sk. siev.</w:t>
            </w:r>
          </w:p>
        </w:tc>
        <w:tc>
          <w:tcPr>
            <w:tcW w:w="2445" w:type="dxa"/>
            <w:tcBorders>
              <w:top w:val="single" w:sz="4" w:space="0" w:color="auto"/>
              <w:left w:val="single" w:sz="4" w:space="0" w:color="auto"/>
              <w:bottom w:val="single" w:sz="4" w:space="0" w:color="auto"/>
              <w:right w:val="single" w:sz="4" w:space="0" w:color="auto"/>
            </w:tcBorders>
            <w:hideMark/>
          </w:tcPr>
          <w:p w:rsidR="000527A3" w:rsidRDefault="000527A3">
            <w:pPr>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154</w:t>
            </w:r>
          </w:p>
        </w:tc>
      </w:tr>
      <w:tr w:rsidR="000527A3" w:rsidTr="000527A3">
        <w:trPr>
          <w:jc w:val="center"/>
        </w:trPr>
        <w:tc>
          <w:tcPr>
            <w:tcW w:w="3192" w:type="dxa"/>
            <w:tcBorders>
              <w:top w:val="single" w:sz="4" w:space="0" w:color="auto"/>
              <w:left w:val="single" w:sz="4" w:space="0" w:color="auto"/>
              <w:bottom w:val="single" w:sz="4" w:space="0" w:color="auto"/>
              <w:right w:val="single" w:sz="4" w:space="0" w:color="auto"/>
            </w:tcBorders>
            <w:hideMark/>
          </w:tcPr>
          <w:p w:rsidR="000527A3" w:rsidRDefault="000527A3">
            <w:pPr>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vīrieši</w:t>
            </w:r>
          </w:p>
        </w:tc>
        <w:tc>
          <w:tcPr>
            <w:tcW w:w="2445" w:type="dxa"/>
            <w:tcBorders>
              <w:top w:val="single" w:sz="4" w:space="0" w:color="auto"/>
              <w:left w:val="single" w:sz="4" w:space="0" w:color="auto"/>
              <w:bottom w:val="single" w:sz="4" w:space="0" w:color="auto"/>
              <w:right w:val="single" w:sz="4" w:space="0" w:color="auto"/>
            </w:tcBorders>
            <w:hideMark/>
          </w:tcPr>
          <w:p w:rsidR="000527A3" w:rsidRDefault="000527A3">
            <w:pPr>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149</w:t>
            </w:r>
          </w:p>
        </w:tc>
      </w:tr>
      <w:tr w:rsidR="000527A3" w:rsidTr="000527A3">
        <w:trPr>
          <w:jc w:val="center"/>
        </w:trPr>
        <w:tc>
          <w:tcPr>
            <w:tcW w:w="3192" w:type="dxa"/>
            <w:tcBorders>
              <w:top w:val="single" w:sz="4" w:space="0" w:color="auto"/>
              <w:left w:val="single" w:sz="4" w:space="0" w:color="auto"/>
              <w:bottom w:val="single" w:sz="4" w:space="0" w:color="auto"/>
              <w:right w:val="single" w:sz="4" w:space="0" w:color="auto"/>
            </w:tcBorders>
            <w:hideMark/>
          </w:tcPr>
          <w:p w:rsidR="000527A3" w:rsidRDefault="000527A3">
            <w:pPr>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Ilgstošie b/d</w:t>
            </w:r>
          </w:p>
        </w:tc>
        <w:tc>
          <w:tcPr>
            <w:tcW w:w="2445" w:type="dxa"/>
            <w:tcBorders>
              <w:top w:val="single" w:sz="4" w:space="0" w:color="auto"/>
              <w:left w:val="single" w:sz="4" w:space="0" w:color="auto"/>
              <w:bottom w:val="single" w:sz="4" w:space="0" w:color="auto"/>
              <w:right w:val="single" w:sz="4" w:space="0" w:color="auto"/>
            </w:tcBorders>
            <w:hideMark/>
          </w:tcPr>
          <w:p w:rsidR="000527A3" w:rsidRDefault="000527A3">
            <w:pPr>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150</w:t>
            </w:r>
          </w:p>
        </w:tc>
      </w:tr>
      <w:tr w:rsidR="000527A3" w:rsidTr="000527A3">
        <w:trPr>
          <w:jc w:val="center"/>
        </w:trPr>
        <w:tc>
          <w:tcPr>
            <w:tcW w:w="3192" w:type="dxa"/>
            <w:tcBorders>
              <w:top w:val="single" w:sz="4" w:space="0" w:color="auto"/>
              <w:left w:val="single" w:sz="4" w:space="0" w:color="auto"/>
              <w:bottom w:val="single" w:sz="4" w:space="0" w:color="auto"/>
              <w:right w:val="single" w:sz="4" w:space="0" w:color="auto"/>
            </w:tcBorders>
            <w:hideMark/>
          </w:tcPr>
          <w:p w:rsidR="000527A3" w:rsidRDefault="000527A3">
            <w:pPr>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Invalīdi</w:t>
            </w:r>
          </w:p>
        </w:tc>
        <w:tc>
          <w:tcPr>
            <w:tcW w:w="2445" w:type="dxa"/>
            <w:tcBorders>
              <w:top w:val="single" w:sz="4" w:space="0" w:color="auto"/>
              <w:left w:val="single" w:sz="4" w:space="0" w:color="auto"/>
              <w:bottom w:val="single" w:sz="4" w:space="0" w:color="auto"/>
              <w:right w:val="single" w:sz="4" w:space="0" w:color="auto"/>
            </w:tcBorders>
            <w:hideMark/>
          </w:tcPr>
          <w:p w:rsidR="000527A3" w:rsidRDefault="000527A3">
            <w:pPr>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79</w:t>
            </w:r>
          </w:p>
        </w:tc>
      </w:tr>
      <w:tr w:rsidR="000527A3" w:rsidTr="000527A3">
        <w:trPr>
          <w:jc w:val="center"/>
        </w:trPr>
        <w:tc>
          <w:tcPr>
            <w:tcW w:w="3192" w:type="dxa"/>
            <w:tcBorders>
              <w:top w:val="single" w:sz="4" w:space="0" w:color="auto"/>
              <w:left w:val="single" w:sz="4" w:space="0" w:color="auto"/>
              <w:bottom w:val="single" w:sz="4" w:space="0" w:color="auto"/>
              <w:right w:val="single" w:sz="4" w:space="0" w:color="auto"/>
            </w:tcBorders>
            <w:hideMark/>
          </w:tcPr>
          <w:p w:rsidR="000527A3" w:rsidRDefault="000527A3">
            <w:pPr>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Jaunieši</w:t>
            </w:r>
          </w:p>
        </w:tc>
        <w:tc>
          <w:tcPr>
            <w:tcW w:w="2445" w:type="dxa"/>
            <w:tcBorders>
              <w:top w:val="single" w:sz="4" w:space="0" w:color="auto"/>
              <w:left w:val="single" w:sz="4" w:space="0" w:color="auto"/>
              <w:bottom w:val="single" w:sz="4" w:space="0" w:color="auto"/>
              <w:right w:val="single" w:sz="4" w:space="0" w:color="auto"/>
            </w:tcBorders>
            <w:hideMark/>
          </w:tcPr>
          <w:p w:rsidR="000527A3" w:rsidRDefault="000527A3">
            <w:pPr>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14</w:t>
            </w:r>
          </w:p>
        </w:tc>
      </w:tr>
      <w:tr w:rsidR="000527A3" w:rsidTr="000527A3">
        <w:trPr>
          <w:jc w:val="center"/>
        </w:trPr>
        <w:tc>
          <w:tcPr>
            <w:tcW w:w="3192" w:type="dxa"/>
            <w:tcBorders>
              <w:top w:val="single" w:sz="4" w:space="0" w:color="auto"/>
              <w:left w:val="single" w:sz="4" w:space="0" w:color="auto"/>
              <w:bottom w:val="single" w:sz="4" w:space="0" w:color="auto"/>
              <w:right w:val="single" w:sz="4" w:space="0" w:color="auto"/>
            </w:tcBorders>
            <w:hideMark/>
          </w:tcPr>
          <w:p w:rsidR="000527A3" w:rsidRDefault="000527A3">
            <w:pPr>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Pirms pensijas vecumā</w:t>
            </w:r>
          </w:p>
        </w:tc>
        <w:tc>
          <w:tcPr>
            <w:tcW w:w="2445" w:type="dxa"/>
            <w:tcBorders>
              <w:top w:val="single" w:sz="4" w:space="0" w:color="auto"/>
              <w:left w:val="single" w:sz="4" w:space="0" w:color="auto"/>
              <w:bottom w:val="single" w:sz="4" w:space="0" w:color="auto"/>
              <w:right w:val="single" w:sz="4" w:space="0" w:color="auto"/>
            </w:tcBorders>
            <w:hideMark/>
          </w:tcPr>
          <w:p w:rsidR="000527A3" w:rsidRDefault="000527A3">
            <w:pPr>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67</w:t>
            </w:r>
          </w:p>
        </w:tc>
      </w:tr>
    </w:tbl>
    <w:p w:rsidR="000527A3" w:rsidRDefault="000527A3" w:rsidP="000527A3">
      <w:pPr>
        <w:spacing w:after="0" w:line="240" w:lineRule="auto"/>
        <w:ind w:firstLine="567"/>
        <w:jc w:val="right"/>
        <w:rPr>
          <w:rFonts w:ascii="Times New Roman" w:hAnsi="Times New Roman" w:cs="Times New Roman"/>
          <w:sz w:val="20"/>
          <w:szCs w:val="20"/>
        </w:rPr>
      </w:pPr>
      <w:r>
        <w:rPr>
          <w:rFonts w:ascii="Times New Roman" w:hAnsi="Times New Roman" w:cs="Times New Roman"/>
          <w:sz w:val="20"/>
          <w:szCs w:val="20"/>
        </w:rPr>
        <w:t>Avots: NVA dati</w:t>
      </w:r>
    </w:p>
    <w:p w:rsidR="000527A3" w:rsidRDefault="000527A3" w:rsidP="000527A3">
      <w:pPr>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Bezdarbnieku sadalījums  pēc vecuma struktūras Viļakas novadā</w:t>
      </w:r>
    </w:p>
    <w:p w:rsidR="000527A3" w:rsidRDefault="000527A3" w:rsidP="000527A3">
      <w:pPr>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uz 2019.gada 31.decembri</w:t>
      </w:r>
    </w:p>
    <w:tbl>
      <w:tblPr>
        <w:tblStyle w:val="TableGrid2"/>
        <w:tblW w:w="10135" w:type="dxa"/>
        <w:jc w:val="center"/>
        <w:tblInd w:w="0" w:type="dxa"/>
        <w:tblLook w:val="04A0" w:firstRow="1" w:lastRow="0" w:firstColumn="1" w:lastColumn="0" w:noHBand="0" w:noVBand="1"/>
      </w:tblPr>
      <w:tblGrid>
        <w:gridCol w:w="1417"/>
        <w:gridCol w:w="845"/>
        <w:gridCol w:w="846"/>
        <w:gridCol w:w="845"/>
        <w:gridCol w:w="844"/>
        <w:gridCol w:w="845"/>
        <w:gridCol w:w="845"/>
        <w:gridCol w:w="845"/>
        <w:gridCol w:w="845"/>
        <w:gridCol w:w="895"/>
        <w:gridCol w:w="1063"/>
      </w:tblGrid>
      <w:tr w:rsidR="000527A3" w:rsidTr="000527A3">
        <w:trPr>
          <w:trHeight w:val="183"/>
          <w:jc w:val="center"/>
        </w:trPr>
        <w:tc>
          <w:tcPr>
            <w:tcW w:w="1417" w:type="dxa"/>
            <w:tcBorders>
              <w:top w:val="single" w:sz="4" w:space="0" w:color="000000"/>
              <w:left w:val="single" w:sz="4" w:space="0" w:color="000000"/>
              <w:bottom w:val="single" w:sz="4" w:space="0" w:color="000000"/>
              <w:right w:val="single" w:sz="4" w:space="0" w:color="000000"/>
            </w:tcBorders>
            <w:vAlign w:val="center"/>
            <w:hideMark/>
          </w:tcPr>
          <w:p w:rsidR="000527A3" w:rsidRDefault="000527A3">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 xml:space="preserve">Vecuma </w:t>
            </w:r>
            <w:proofErr w:type="spellStart"/>
            <w:r>
              <w:rPr>
                <w:rFonts w:ascii="Times New Roman" w:eastAsia="Calibri" w:hAnsi="Times New Roman" w:cs="Times New Roman"/>
                <w:b/>
                <w:sz w:val="20"/>
                <w:szCs w:val="20"/>
              </w:rPr>
              <w:t>grupa</w:t>
            </w:r>
            <w:proofErr w:type="spellEnd"/>
          </w:p>
        </w:tc>
        <w:tc>
          <w:tcPr>
            <w:tcW w:w="845" w:type="dxa"/>
            <w:tcBorders>
              <w:top w:val="single" w:sz="4" w:space="0" w:color="000000"/>
              <w:left w:val="single" w:sz="4" w:space="0" w:color="000000"/>
              <w:bottom w:val="single" w:sz="4" w:space="0" w:color="000000"/>
              <w:right w:val="single" w:sz="4" w:space="0" w:color="000000"/>
            </w:tcBorders>
            <w:vAlign w:val="center"/>
            <w:hideMark/>
          </w:tcPr>
          <w:p w:rsidR="000527A3" w:rsidRDefault="000527A3">
            <w:pPr>
              <w:spacing w:after="0" w:line="240" w:lineRule="auto"/>
              <w:jc w:val="center"/>
              <w:rPr>
                <w:rFonts w:ascii="Times New Roman" w:eastAsia="Calibri" w:hAnsi="Times New Roman" w:cs="Times New Roman"/>
                <w:b/>
                <w:i/>
              </w:rPr>
            </w:pPr>
            <w:r>
              <w:rPr>
                <w:rFonts w:ascii="Times New Roman" w:eastAsia="Calibri" w:hAnsi="Times New Roman" w:cs="Times New Roman"/>
                <w:b/>
                <w:i/>
              </w:rPr>
              <w:t>15-24</w:t>
            </w:r>
          </w:p>
        </w:tc>
        <w:tc>
          <w:tcPr>
            <w:tcW w:w="846" w:type="dxa"/>
            <w:tcBorders>
              <w:top w:val="single" w:sz="4" w:space="0" w:color="000000"/>
              <w:left w:val="single" w:sz="4" w:space="0" w:color="000000"/>
              <w:bottom w:val="single" w:sz="4" w:space="0" w:color="000000"/>
              <w:right w:val="single" w:sz="4" w:space="0" w:color="000000"/>
            </w:tcBorders>
            <w:vAlign w:val="center"/>
            <w:hideMark/>
          </w:tcPr>
          <w:p w:rsidR="000527A3" w:rsidRDefault="000527A3">
            <w:pPr>
              <w:spacing w:after="0" w:line="240" w:lineRule="auto"/>
              <w:jc w:val="center"/>
              <w:rPr>
                <w:rFonts w:ascii="Times New Roman" w:eastAsia="Calibri" w:hAnsi="Times New Roman" w:cs="Times New Roman"/>
                <w:b/>
                <w:i/>
              </w:rPr>
            </w:pPr>
            <w:r>
              <w:rPr>
                <w:rFonts w:ascii="Times New Roman" w:eastAsia="Calibri" w:hAnsi="Times New Roman" w:cs="Times New Roman"/>
                <w:b/>
                <w:i/>
              </w:rPr>
              <w:t>25-29</w:t>
            </w:r>
          </w:p>
        </w:tc>
        <w:tc>
          <w:tcPr>
            <w:tcW w:w="845" w:type="dxa"/>
            <w:tcBorders>
              <w:top w:val="single" w:sz="4" w:space="0" w:color="000000"/>
              <w:left w:val="single" w:sz="4" w:space="0" w:color="000000"/>
              <w:bottom w:val="single" w:sz="4" w:space="0" w:color="000000"/>
              <w:right w:val="single" w:sz="4" w:space="0" w:color="000000"/>
            </w:tcBorders>
            <w:vAlign w:val="center"/>
            <w:hideMark/>
          </w:tcPr>
          <w:p w:rsidR="000527A3" w:rsidRDefault="000527A3">
            <w:pPr>
              <w:spacing w:after="0" w:line="240" w:lineRule="auto"/>
              <w:jc w:val="center"/>
              <w:rPr>
                <w:rFonts w:ascii="Times New Roman" w:eastAsia="Calibri" w:hAnsi="Times New Roman" w:cs="Times New Roman"/>
                <w:b/>
                <w:i/>
              </w:rPr>
            </w:pPr>
            <w:r>
              <w:rPr>
                <w:rFonts w:ascii="Times New Roman" w:eastAsia="Calibri" w:hAnsi="Times New Roman" w:cs="Times New Roman"/>
                <w:b/>
                <w:i/>
              </w:rPr>
              <w:t>30-34</w:t>
            </w:r>
          </w:p>
        </w:tc>
        <w:tc>
          <w:tcPr>
            <w:tcW w:w="844" w:type="dxa"/>
            <w:tcBorders>
              <w:top w:val="single" w:sz="4" w:space="0" w:color="000000"/>
              <w:left w:val="single" w:sz="4" w:space="0" w:color="000000"/>
              <w:bottom w:val="single" w:sz="4" w:space="0" w:color="000000"/>
              <w:right w:val="single" w:sz="4" w:space="0" w:color="000000"/>
            </w:tcBorders>
            <w:vAlign w:val="center"/>
            <w:hideMark/>
          </w:tcPr>
          <w:p w:rsidR="000527A3" w:rsidRDefault="000527A3">
            <w:pPr>
              <w:spacing w:after="0" w:line="240" w:lineRule="auto"/>
              <w:jc w:val="center"/>
              <w:rPr>
                <w:rFonts w:ascii="Times New Roman" w:eastAsia="Calibri" w:hAnsi="Times New Roman" w:cs="Times New Roman"/>
                <w:b/>
                <w:i/>
              </w:rPr>
            </w:pPr>
            <w:r>
              <w:rPr>
                <w:rFonts w:ascii="Times New Roman" w:eastAsia="Calibri" w:hAnsi="Times New Roman" w:cs="Times New Roman"/>
                <w:b/>
                <w:i/>
              </w:rPr>
              <w:t>35-39</w:t>
            </w:r>
          </w:p>
        </w:tc>
        <w:tc>
          <w:tcPr>
            <w:tcW w:w="845" w:type="dxa"/>
            <w:tcBorders>
              <w:top w:val="single" w:sz="4" w:space="0" w:color="000000"/>
              <w:left w:val="single" w:sz="4" w:space="0" w:color="000000"/>
              <w:bottom w:val="single" w:sz="4" w:space="0" w:color="000000"/>
              <w:right w:val="single" w:sz="4" w:space="0" w:color="000000"/>
            </w:tcBorders>
            <w:vAlign w:val="center"/>
            <w:hideMark/>
          </w:tcPr>
          <w:p w:rsidR="000527A3" w:rsidRDefault="000527A3">
            <w:pPr>
              <w:spacing w:after="0" w:line="240" w:lineRule="auto"/>
              <w:jc w:val="center"/>
              <w:rPr>
                <w:rFonts w:ascii="Times New Roman" w:eastAsia="Calibri" w:hAnsi="Times New Roman" w:cs="Times New Roman"/>
                <w:b/>
                <w:i/>
              </w:rPr>
            </w:pPr>
            <w:r>
              <w:rPr>
                <w:rFonts w:ascii="Times New Roman" w:eastAsia="Calibri" w:hAnsi="Times New Roman" w:cs="Times New Roman"/>
                <w:b/>
                <w:i/>
              </w:rPr>
              <w:t>40-44</w:t>
            </w:r>
          </w:p>
        </w:tc>
        <w:tc>
          <w:tcPr>
            <w:tcW w:w="845" w:type="dxa"/>
            <w:tcBorders>
              <w:top w:val="single" w:sz="4" w:space="0" w:color="000000"/>
              <w:left w:val="single" w:sz="4" w:space="0" w:color="000000"/>
              <w:bottom w:val="single" w:sz="4" w:space="0" w:color="000000"/>
              <w:right w:val="single" w:sz="4" w:space="0" w:color="000000"/>
            </w:tcBorders>
            <w:vAlign w:val="center"/>
            <w:hideMark/>
          </w:tcPr>
          <w:p w:rsidR="000527A3" w:rsidRDefault="000527A3">
            <w:pPr>
              <w:spacing w:after="0" w:line="240" w:lineRule="auto"/>
              <w:jc w:val="center"/>
              <w:rPr>
                <w:rFonts w:ascii="Times New Roman" w:eastAsia="Calibri" w:hAnsi="Times New Roman" w:cs="Times New Roman"/>
                <w:b/>
                <w:i/>
              </w:rPr>
            </w:pPr>
            <w:r>
              <w:rPr>
                <w:rFonts w:ascii="Times New Roman" w:eastAsia="Calibri" w:hAnsi="Times New Roman" w:cs="Times New Roman"/>
                <w:b/>
                <w:i/>
              </w:rPr>
              <w:t>45-49</w:t>
            </w:r>
          </w:p>
        </w:tc>
        <w:tc>
          <w:tcPr>
            <w:tcW w:w="845" w:type="dxa"/>
            <w:tcBorders>
              <w:top w:val="single" w:sz="4" w:space="0" w:color="000000"/>
              <w:left w:val="single" w:sz="4" w:space="0" w:color="000000"/>
              <w:bottom w:val="single" w:sz="4" w:space="0" w:color="000000"/>
              <w:right w:val="single" w:sz="4" w:space="0" w:color="000000"/>
            </w:tcBorders>
            <w:vAlign w:val="center"/>
            <w:hideMark/>
          </w:tcPr>
          <w:p w:rsidR="000527A3" w:rsidRDefault="000527A3">
            <w:pPr>
              <w:spacing w:after="0" w:line="240" w:lineRule="auto"/>
              <w:jc w:val="center"/>
              <w:rPr>
                <w:rFonts w:ascii="Times New Roman" w:eastAsia="Calibri" w:hAnsi="Times New Roman" w:cs="Times New Roman"/>
                <w:b/>
                <w:i/>
              </w:rPr>
            </w:pPr>
            <w:r>
              <w:rPr>
                <w:rFonts w:ascii="Times New Roman" w:eastAsia="Calibri" w:hAnsi="Times New Roman" w:cs="Times New Roman"/>
                <w:b/>
                <w:i/>
              </w:rPr>
              <w:t>50-54</w:t>
            </w:r>
          </w:p>
        </w:tc>
        <w:tc>
          <w:tcPr>
            <w:tcW w:w="845" w:type="dxa"/>
            <w:tcBorders>
              <w:top w:val="single" w:sz="4" w:space="0" w:color="000000"/>
              <w:left w:val="single" w:sz="4" w:space="0" w:color="000000"/>
              <w:bottom w:val="single" w:sz="4" w:space="0" w:color="000000"/>
              <w:right w:val="single" w:sz="4" w:space="0" w:color="000000"/>
            </w:tcBorders>
            <w:vAlign w:val="center"/>
            <w:hideMark/>
          </w:tcPr>
          <w:p w:rsidR="000527A3" w:rsidRDefault="000527A3">
            <w:pPr>
              <w:spacing w:after="0" w:line="240" w:lineRule="auto"/>
              <w:jc w:val="center"/>
              <w:rPr>
                <w:rFonts w:ascii="Times New Roman" w:eastAsia="Calibri" w:hAnsi="Times New Roman" w:cs="Times New Roman"/>
                <w:b/>
                <w:i/>
              </w:rPr>
            </w:pPr>
            <w:r>
              <w:rPr>
                <w:rFonts w:ascii="Times New Roman" w:eastAsia="Calibri" w:hAnsi="Times New Roman" w:cs="Times New Roman"/>
                <w:b/>
                <w:i/>
              </w:rPr>
              <w:t>55-59</w:t>
            </w:r>
          </w:p>
        </w:tc>
        <w:tc>
          <w:tcPr>
            <w:tcW w:w="895" w:type="dxa"/>
            <w:tcBorders>
              <w:top w:val="single" w:sz="4" w:space="0" w:color="000000"/>
              <w:left w:val="single" w:sz="4" w:space="0" w:color="000000"/>
              <w:bottom w:val="single" w:sz="4" w:space="0" w:color="000000"/>
              <w:right w:val="single" w:sz="4" w:space="0" w:color="000000"/>
            </w:tcBorders>
            <w:vAlign w:val="center"/>
            <w:hideMark/>
          </w:tcPr>
          <w:p w:rsidR="000527A3" w:rsidRDefault="000527A3">
            <w:pPr>
              <w:spacing w:after="0" w:line="240" w:lineRule="auto"/>
              <w:jc w:val="center"/>
              <w:rPr>
                <w:rFonts w:ascii="Times New Roman" w:eastAsia="Calibri" w:hAnsi="Times New Roman" w:cs="Times New Roman"/>
                <w:b/>
                <w:i/>
              </w:rPr>
            </w:pPr>
            <w:r>
              <w:rPr>
                <w:rFonts w:ascii="Times New Roman" w:eastAsia="Calibri" w:hAnsi="Times New Roman" w:cs="Times New Roman"/>
                <w:b/>
                <w:i/>
              </w:rPr>
              <w:t>60</w:t>
            </w:r>
          </w:p>
          <w:p w:rsidR="000527A3" w:rsidRDefault="000527A3">
            <w:pPr>
              <w:spacing w:after="0" w:line="240" w:lineRule="auto"/>
              <w:jc w:val="center"/>
              <w:rPr>
                <w:rFonts w:ascii="Times New Roman" w:eastAsia="Calibri" w:hAnsi="Times New Roman" w:cs="Times New Roman"/>
                <w:b/>
                <w:i/>
              </w:rPr>
            </w:pPr>
            <w:r>
              <w:rPr>
                <w:rFonts w:ascii="Times New Roman" w:eastAsia="Calibri" w:hAnsi="Times New Roman" w:cs="Times New Roman"/>
                <w:b/>
                <w:i/>
              </w:rPr>
              <w:t xml:space="preserve">+ </w:t>
            </w:r>
            <w:proofErr w:type="spellStart"/>
            <w:r>
              <w:rPr>
                <w:rFonts w:ascii="Times New Roman" w:eastAsia="Calibri" w:hAnsi="Times New Roman" w:cs="Times New Roman"/>
                <w:b/>
                <w:i/>
              </w:rPr>
              <w:t>vairāk</w:t>
            </w:r>
            <w:proofErr w:type="spellEnd"/>
          </w:p>
        </w:tc>
        <w:tc>
          <w:tcPr>
            <w:tcW w:w="1063" w:type="dxa"/>
            <w:tcBorders>
              <w:top w:val="single" w:sz="4" w:space="0" w:color="000000"/>
              <w:left w:val="single" w:sz="4" w:space="0" w:color="000000"/>
              <w:bottom w:val="single" w:sz="4" w:space="0" w:color="000000"/>
              <w:right w:val="single" w:sz="4" w:space="0" w:color="000000"/>
            </w:tcBorders>
            <w:vAlign w:val="center"/>
            <w:hideMark/>
          </w:tcPr>
          <w:p w:rsidR="000527A3" w:rsidRDefault="000527A3">
            <w:pPr>
              <w:spacing w:after="0" w:line="240" w:lineRule="auto"/>
              <w:jc w:val="center"/>
              <w:rPr>
                <w:rFonts w:ascii="Times New Roman" w:eastAsia="Calibri" w:hAnsi="Times New Roman" w:cs="Times New Roman"/>
                <w:b/>
                <w:i/>
              </w:rPr>
            </w:pPr>
            <w:proofErr w:type="spellStart"/>
            <w:r>
              <w:rPr>
                <w:rFonts w:ascii="Times New Roman" w:eastAsia="Calibri" w:hAnsi="Times New Roman" w:cs="Times New Roman"/>
                <w:b/>
                <w:i/>
              </w:rPr>
              <w:t>Kopā</w:t>
            </w:r>
            <w:proofErr w:type="spellEnd"/>
          </w:p>
        </w:tc>
      </w:tr>
      <w:tr w:rsidR="000527A3" w:rsidTr="000527A3">
        <w:trPr>
          <w:trHeight w:val="222"/>
          <w:jc w:val="center"/>
        </w:trPr>
        <w:tc>
          <w:tcPr>
            <w:tcW w:w="1417" w:type="dxa"/>
            <w:tcBorders>
              <w:top w:val="single" w:sz="4" w:space="0" w:color="000000"/>
              <w:left w:val="single" w:sz="4" w:space="0" w:color="000000"/>
              <w:bottom w:val="single" w:sz="4" w:space="0" w:color="000000"/>
              <w:right w:val="single" w:sz="4" w:space="0" w:color="000000"/>
            </w:tcBorders>
            <w:vAlign w:val="center"/>
            <w:hideMark/>
          </w:tcPr>
          <w:p w:rsidR="000527A3" w:rsidRDefault="000527A3">
            <w:pPr>
              <w:spacing w:after="0" w:line="240" w:lineRule="auto"/>
              <w:jc w:val="center"/>
              <w:rPr>
                <w:rFonts w:ascii="Times New Roman" w:eastAsia="Calibri" w:hAnsi="Times New Roman" w:cs="Times New Roman"/>
                <w:b/>
                <w:sz w:val="20"/>
                <w:szCs w:val="20"/>
              </w:rPr>
            </w:pPr>
            <w:proofErr w:type="spellStart"/>
            <w:r>
              <w:rPr>
                <w:rFonts w:ascii="Times New Roman" w:eastAsia="Calibri" w:hAnsi="Times New Roman" w:cs="Times New Roman"/>
                <w:b/>
                <w:sz w:val="20"/>
                <w:szCs w:val="20"/>
              </w:rPr>
              <w:t>Bezdarbnieku</w:t>
            </w:r>
            <w:proofErr w:type="spellEnd"/>
            <w:r>
              <w:rPr>
                <w:rFonts w:ascii="Times New Roman" w:eastAsia="Calibri" w:hAnsi="Times New Roman" w:cs="Times New Roman"/>
                <w:b/>
                <w:sz w:val="20"/>
                <w:szCs w:val="20"/>
              </w:rPr>
              <w:t xml:space="preserve"> </w:t>
            </w:r>
            <w:proofErr w:type="spellStart"/>
            <w:r>
              <w:rPr>
                <w:rFonts w:ascii="Times New Roman" w:eastAsia="Calibri" w:hAnsi="Times New Roman" w:cs="Times New Roman"/>
                <w:b/>
                <w:sz w:val="20"/>
                <w:szCs w:val="20"/>
              </w:rPr>
              <w:t>skaits</w:t>
            </w:r>
            <w:proofErr w:type="spellEnd"/>
          </w:p>
        </w:tc>
        <w:tc>
          <w:tcPr>
            <w:tcW w:w="845" w:type="dxa"/>
            <w:tcBorders>
              <w:top w:val="single" w:sz="4" w:space="0" w:color="000000"/>
              <w:left w:val="single" w:sz="4" w:space="0" w:color="000000"/>
              <w:bottom w:val="single" w:sz="4" w:space="0" w:color="000000"/>
              <w:right w:val="single" w:sz="4" w:space="0" w:color="000000"/>
            </w:tcBorders>
          </w:tcPr>
          <w:p w:rsidR="000527A3" w:rsidRDefault="000527A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14</w:t>
            </w:r>
          </w:p>
          <w:p w:rsidR="000527A3" w:rsidRDefault="000527A3">
            <w:pPr>
              <w:spacing w:after="0" w:line="240" w:lineRule="auto"/>
              <w:jc w:val="center"/>
              <w:rPr>
                <w:rFonts w:ascii="Times New Roman" w:eastAsia="Calibri" w:hAnsi="Times New Roman" w:cs="Times New Roman"/>
                <w:sz w:val="24"/>
                <w:szCs w:val="24"/>
              </w:rPr>
            </w:pPr>
          </w:p>
        </w:tc>
        <w:tc>
          <w:tcPr>
            <w:tcW w:w="846" w:type="dxa"/>
            <w:tcBorders>
              <w:top w:val="single" w:sz="4" w:space="0" w:color="000000"/>
              <w:left w:val="single" w:sz="4" w:space="0" w:color="000000"/>
              <w:bottom w:val="single" w:sz="4" w:space="0" w:color="000000"/>
              <w:right w:val="single" w:sz="4" w:space="0" w:color="000000"/>
            </w:tcBorders>
            <w:hideMark/>
          </w:tcPr>
          <w:p w:rsidR="000527A3" w:rsidRDefault="000527A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17</w:t>
            </w:r>
          </w:p>
        </w:tc>
        <w:tc>
          <w:tcPr>
            <w:tcW w:w="845" w:type="dxa"/>
            <w:tcBorders>
              <w:top w:val="single" w:sz="4" w:space="0" w:color="000000"/>
              <w:left w:val="single" w:sz="4" w:space="0" w:color="000000"/>
              <w:bottom w:val="single" w:sz="4" w:space="0" w:color="000000"/>
              <w:right w:val="single" w:sz="4" w:space="0" w:color="000000"/>
            </w:tcBorders>
            <w:hideMark/>
          </w:tcPr>
          <w:p w:rsidR="000527A3" w:rsidRDefault="000527A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22</w:t>
            </w:r>
          </w:p>
        </w:tc>
        <w:tc>
          <w:tcPr>
            <w:tcW w:w="844" w:type="dxa"/>
            <w:tcBorders>
              <w:top w:val="single" w:sz="4" w:space="0" w:color="000000"/>
              <w:left w:val="single" w:sz="4" w:space="0" w:color="000000"/>
              <w:bottom w:val="single" w:sz="4" w:space="0" w:color="000000"/>
              <w:right w:val="single" w:sz="4" w:space="0" w:color="000000"/>
            </w:tcBorders>
            <w:hideMark/>
          </w:tcPr>
          <w:p w:rsidR="000527A3" w:rsidRDefault="000527A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21</w:t>
            </w:r>
          </w:p>
        </w:tc>
        <w:tc>
          <w:tcPr>
            <w:tcW w:w="845" w:type="dxa"/>
            <w:tcBorders>
              <w:top w:val="single" w:sz="4" w:space="0" w:color="000000"/>
              <w:left w:val="single" w:sz="4" w:space="0" w:color="000000"/>
              <w:bottom w:val="single" w:sz="4" w:space="0" w:color="000000"/>
              <w:right w:val="single" w:sz="4" w:space="0" w:color="000000"/>
            </w:tcBorders>
            <w:hideMark/>
          </w:tcPr>
          <w:p w:rsidR="000527A3" w:rsidRDefault="000527A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26</w:t>
            </w:r>
          </w:p>
        </w:tc>
        <w:tc>
          <w:tcPr>
            <w:tcW w:w="845" w:type="dxa"/>
            <w:tcBorders>
              <w:top w:val="single" w:sz="4" w:space="0" w:color="000000"/>
              <w:left w:val="single" w:sz="4" w:space="0" w:color="000000"/>
              <w:bottom w:val="single" w:sz="4" w:space="0" w:color="000000"/>
              <w:right w:val="single" w:sz="4" w:space="0" w:color="000000"/>
            </w:tcBorders>
            <w:hideMark/>
          </w:tcPr>
          <w:p w:rsidR="000527A3" w:rsidRDefault="000527A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37</w:t>
            </w:r>
          </w:p>
        </w:tc>
        <w:tc>
          <w:tcPr>
            <w:tcW w:w="845" w:type="dxa"/>
            <w:tcBorders>
              <w:top w:val="single" w:sz="4" w:space="0" w:color="000000"/>
              <w:left w:val="single" w:sz="4" w:space="0" w:color="000000"/>
              <w:bottom w:val="single" w:sz="4" w:space="0" w:color="000000"/>
              <w:right w:val="single" w:sz="4" w:space="0" w:color="000000"/>
            </w:tcBorders>
            <w:hideMark/>
          </w:tcPr>
          <w:p w:rsidR="000527A3" w:rsidRDefault="000527A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59</w:t>
            </w:r>
          </w:p>
        </w:tc>
        <w:tc>
          <w:tcPr>
            <w:tcW w:w="845" w:type="dxa"/>
            <w:tcBorders>
              <w:top w:val="single" w:sz="4" w:space="0" w:color="000000"/>
              <w:left w:val="single" w:sz="4" w:space="0" w:color="000000"/>
              <w:bottom w:val="single" w:sz="4" w:space="0" w:color="000000"/>
              <w:right w:val="single" w:sz="4" w:space="0" w:color="000000"/>
            </w:tcBorders>
            <w:hideMark/>
          </w:tcPr>
          <w:p w:rsidR="000527A3" w:rsidRDefault="000527A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64</w:t>
            </w:r>
          </w:p>
        </w:tc>
        <w:tc>
          <w:tcPr>
            <w:tcW w:w="895" w:type="dxa"/>
            <w:tcBorders>
              <w:top w:val="single" w:sz="4" w:space="0" w:color="000000"/>
              <w:left w:val="single" w:sz="4" w:space="0" w:color="000000"/>
              <w:bottom w:val="single" w:sz="4" w:space="0" w:color="000000"/>
              <w:right w:val="single" w:sz="4" w:space="0" w:color="000000"/>
            </w:tcBorders>
            <w:hideMark/>
          </w:tcPr>
          <w:p w:rsidR="000527A3" w:rsidRDefault="000527A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43</w:t>
            </w:r>
          </w:p>
        </w:tc>
        <w:tc>
          <w:tcPr>
            <w:tcW w:w="1063" w:type="dxa"/>
            <w:tcBorders>
              <w:top w:val="single" w:sz="4" w:space="0" w:color="000000"/>
              <w:left w:val="single" w:sz="4" w:space="0" w:color="000000"/>
              <w:bottom w:val="single" w:sz="4" w:space="0" w:color="000000"/>
              <w:right w:val="single" w:sz="4" w:space="0" w:color="000000"/>
            </w:tcBorders>
            <w:hideMark/>
          </w:tcPr>
          <w:p w:rsidR="000527A3" w:rsidRDefault="000527A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303</w:t>
            </w:r>
          </w:p>
        </w:tc>
      </w:tr>
    </w:tbl>
    <w:p w:rsidR="000527A3" w:rsidRDefault="000527A3" w:rsidP="000527A3">
      <w:pPr>
        <w:spacing w:after="0" w:line="240" w:lineRule="auto"/>
        <w:ind w:firstLine="567"/>
        <w:jc w:val="right"/>
        <w:rPr>
          <w:rFonts w:ascii="Times New Roman" w:hAnsi="Times New Roman" w:cs="Times New Roman"/>
          <w:sz w:val="20"/>
          <w:szCs w:val="20"/>
        </w:rPr>
      </w:pPr>
      <w:r>
        <w:rPr>
          <w:rFonts w:ascii="Times New Roman" w:hAnsi="Times New Roman" w:cs="Times New Roman"/>
          <w:sz w:val="20"/>
          <w:szCs w:val="20"/>
        </w:rPr>
        <w:lastRenderedPageBreak/>
        <w:t>Avots: NVA dati</w:t>
      </w:r>
    </w:p>
    <w:p w:rsidR="000527A3" w:rsidRDefault="000527A3" w:rsidP="000527A3">
      <w:pPr>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 xml:space="preserve"> Bezdarbnieku sadalījums pēc izglītības līmeņa Viļakas novadā</w:t>
      </w:r>
    </w:p>
    <w:p w:rsidR="000527A3" w:rsidRDefault="000527A3" w:rsidP="000527A3">
      <w:pPr>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uz 2019.gada 31.decembri</w:t>
      </w:r>
    </w:p>
    <w:tbl>
      <w:tblPr>
        <w:tblStyle w:val="TableGrid3"/>
        <w:tblW w:w="0" w:type="auto"/>
        <w:tblInd w:w="0" w:type="dxa"/>
        <w:tblLook w:val="04A0" w:firstRow="1" w:lastRow="0" w:firstColumn="1" w:lastColumn="0" w:noHBand="0" w:noVBand="1"/>
      </w:tblPr>
      <w:tblGrid>
        <w:gridCol w:w="1417"/>
        <w:gridCol w:w="995"/>
        <w:gridCol w:w="1274"/>
        <w:gridCol w:w="1018"/>
        <w:gridCol w:w="1457"/>
        <w:gridCol w:w="1491"/>
        <w:gridCol w:w="644"/>
      </w:tblGrid>
      <w:tr w:rsidR="000527A3" w:rsidTr="000527A3">
        <w:tc>
          <w:tcPr>
            <w:tcW w:w="1418" w:type="dxa"/>
            <w:tcBorders>
              <w:top w:val="single" w:sz="4" w:space="0" w:color="000000"/>
              <w:left w:val="single" w:sz="4" w:space="0" w:color="000000"/>
              <w:bottom w:val="single" w:sz="4" w:space="0" w:color="000000"/>
              <w:right w:val="single" w:sz="4" w:space="0" w:color="000000"/>
            </w:tcBorders>
            <w:hideMark/>
          </w:tcPr>
          <w:p w:rsidR="000527A3" w:rsidRDefault="000527A3">
            <w:pPr>
              <w:spacing w:after="0" w:line="240" w:lineRule="auto"/>
              <w:jc w:val="center"/>
              <w:rPr>
                <w:rFonts w:ascii="Times New Roman" w:eastAsia="Calibri" w:hAnsi="Times New Roman" w:cs="Times New Roman"/>
                <w:b/>
                <w:sz w:val="20"/>
                <w:szCs w:val="20"/>
              </w:rPr>
            </w:pPr>
            <w:proofErr w:type="spellStart"/>
            <w:r>
              <w:rPr>
                <w:rFonts w:ascii="Times New Roman" w:eastAsia="Calibri" w:hAnsi="Times New Roman" w:cs="Times New Roman"/>
                <w:b/>
                <w:sz w:val="20"/>
                <w:szCs w:val="20"/>
              </w:rPr>
              <w:t>Izglītības</w:t>
            </w:r>
            <w:proofErr w:type="spellEnd"/>
            <w:r>
              <w:rPr>
                <w:rFonts w:ascii="Times New Roman" w:eastAsia="Calibri" w:hAnsi="Times New Roman" w:cs="Times New Roman"/>
                <w:b/>
                <w:sz w:val="20"/>
                <w:szCs w:val="20"/>
              </w:rPr>
              <w:t xml:space="preserve"> </w:t>
            </w:r>
            <w:proofErr w:type="spellStart"/>
            <w:r>
              <w:rPr>
                <w:rFonts w:ascii="Times New Roman" w:eastAsia="Calibri" w:hAnsi="Times New Roman" w:cs="Times New Roman"/>
                <w:b/>
                <w:sz w:val="20"/>
                <w:szCs w:val="20"/>
              </w:rPr>
              <w:t>līmenis</w:t>
            </w:r>
            <w:proofErr w:type="spellEnd"/>
          </w:p>
        </w:tc>
        <w:tc>
          <w:tcPr>
            <w:tcW w:w="1178" w:type="dxa"/>
            <w:tcBorders>
              <w:top w:val="single" w:sz="4" w:space="0" w:color="000000"/>
              <w:left w:val="single" w:sz="4" w:space="0" w:color="000000"/>
              <w:bottom w:val="single" w:sz="4" w:space="0" w:color="000000"/>
              <w:right w:val="single" w:sz="4" w:space="0" w:color="000000"/>
            </w:tcBorders>
            <w:hideMark/>
          </w:tcPr>
          <w:p w:rsidR="000527A3" w:rsidRDefault="000527A3">
            <w:pPr>
              <w:spacing w:after="0" w:line="240" w:lineRule="auto"/>
              <w:jc w:val="center"/>
              <w:rPr>
                <w:rFonts w:ascii="Times New Roman" w:eastAsia="Calibri" w:hAnsi="Times New Roman" w:cs="Times New Roman"/>
                <w:b/>
                <w:sz w:val="20"/>
                <w:szCs w:val="20"/>
              </w:rPr>
            </w:pPr>
            <w:proofErr w:type="spellStart"/>
            <w:r>
              <w:rPr>
                <w:rFonts w:ascii="Times New Roman" w:eastAsia="Calibri" w:hAnsi="Times New Roman" w:cs="Times New Roman"/>
                <w:b/>
                <w:sz w:val="20"/>
                <w:szCs w:val="20"/>
              </w:rPr>
              <w:t>augstākā</w:t>
            </w:r>
            <w:proofErr w:type="spellEnd"/>
          </w:p>
        </w:tc>
        <w:tc>
          <w:tcPr>
            <w:tcW w:w="1310" w:type="dxa"/>
            <w:tcBorders>
              <w:top w:val="single" w:sz="4" w:space="0" w:color="000000"/>
              <w:left w:val="single" w:sz="4" w:space="0" w:color="000000"/>
              <w:bottom w:val="single" w:sz="4" w:space="0" w:color="000000"/>
              <w:right w:val="single" w:sz="4" w:space="0" w:color="000000"/>
            </w:tcBorders>
            <w:hideMark/>
          </w:tcPr>
          <w:p w:rsidR="000527A3" w:rsidRDefault="000527A3">
            <w:pPr>
              <w:spacing w:after="0" w:line="240" w:lineRule="auto"/>
              <w:jc w:val="center"/>
              <w:rPr>
                <w:rFonts w:ascii="Times New Roman" w:eastAsia="Calibri" w:hAnsi="Times New Roman" w:cs="Times New Roman"/>
                <w:b/>
                <w:sz w:val="20"/>
                <w:szCs w:val="20"/>
              </w:rPr>
            </w:pPr>
            <w:proofErr w:type="spellStart"/>
            <w:r>
              <w:rPr>
                <w:rFonts w:ascii="Times New Roman" w:eastAsia="Calibri" w:hAnsi="Times New Roman" w:cs="Times New Roman"/>
                <w:b/>
                <w:sz w:val="20"/>
                <w:szCs w:val="20"/>
              </w:rPr>
              <w:t>profesionālā</w:t>
            </w:r>
            <w:proofErr w:type="spellEnd"/>
          </w:p>
          <w:p w:rsidR="000527A3" w:rsidRDefault="000527A3">
            <w:pPr>
              <w:spacing w:after="0" w:line="240" w:lineRule="auto"/>
              <w:jc w:val="center"/>
              <w:rPr>
                <w:rFonts w:ascii="Times New Roman" w:eastAsia="Calibri" w:hAnsi="Times New Roman" w:cs="Times New Roman"/>
                <w:b/>
                <w:sz w:val="20"/>
                <w:szCs w:val="20"/>
              </w:rPr>
            </w:pPr>
            <w:proofErr w:type="spellStart"/>
            <w:r>
              <w:rPr>
                <w:rFonts w:ascii="Times New Roman" w:eastAsia="Calibri" w:hAnsi="Times New Roman" w:cs="Times New Roman"/>
                <w:b/>
                <w:sz w:val="20"/>
                <w:szCs w:val="20"/>
              </w:rPr>
              <w:t>vidējā</w:t>
            </w:r>
            <w:proofErr w:type="spellEnd"/>
          </w:p>
        </w:tc>
        <w:tc>
          <w:tcPr>
            <w:tcW w:w="1212" w:type="dxa"/>
            <w:tcBorders>
              <w:top w:val="single" w:sz="4" w:space="0" w:color="000000"/>
              <w:left w:val="single" w:sz="4" w:space="0" w:color="000000"/>
              <w:bottom w:val="single" w:sz="4" w:space="0" w:color="000000"/>
              <w:right w:val="single" w:sz="4" w:space="0" w:color="000000"/>
            </w:tcBorders>
            <w:hideMark/>
          </w:tcPr>
          <w:p w:rsidR="000527A3" w:rsidRDefault="000527A3">
            <w:pPr>
              <w:spacing w:after="0" w:line="240" w:lineRule="auto"/>
              <w:jc w:val="center"/>
              <w:rPr>
                <w:rFonts w:ascii="Times New Roman" w:eastAsia="Calibri" w:hAnsi="Times New Roman" w:cs="Times New Roman"/>
                <w:b/>
                <w:sz w:val="20"/>
                <w:szCs w:val="20"/>
              </w:rPr>
            </w:pPr>
            <w:proofErr w:type="spellStart"/>
            <w:r>
              <w:rPr>
                <w:rFonts w:ascii="Times New Roman" w:eastAsia="Calibri" w:hAnsi="Times New Roman" w:cs="Times New Roman"/>
                <w:b/>
                <w:sz w:val="20"/>
                <w:szCs w:val="20"/>
              </w:rPr>
              <w:t>vispārējā</w:t>
            </w:r>
            <w:proofErr w:type="spellEnd"/>
            <w:r>
              <w:rPr>
                <w:rFonts w:ascii="Times New Roman" w:eastAsia="Calibri" w:hAnsi="Times New Roman" w:cs="Times New Roman"/>
                <w:b/>
                <w:sz w:val="20"/>
                <w:szCs w:val="20"/>
              </w:rPr>
              <w:t xml:space="preserve"> </w:t>
            </w:r>
            <w:proofErr w:type="spellStart"/>
            <w:r>
              <w:rPr>
                <w:rFonts w:ascii="Times New Roman" w:eastAsia="Calibri" w:hAnsi="Times New Roman" w:cs="Times New Roman"/>
                <w:b/>
                <w:sz w:val="20"/>
                <w:szCs w:val="20"/>
              </w:rPr>
              <w:t>vidējā</w:t>
            </w:r>
            <w:proofErr w:type="spellEnd"/>
          </w:p>
        </w:tc>
        <w:tc>
          <w:tcPr>
            <w:tcW w:w="1563" w:type="dxa"/>
            <w:tcBorders>
              <w:top w:val="single" w:sz="4" w:space="0" w:color="000000"/>
              <w:left w:val="single" w:sz="4" w:space="0" w:color="000000"/>
              <w:bottom w:val="single" w:sz="4" w:space="0" w:color="000000"/>
              <w:right w:val="single" w:sz="4" w:space="0" w:color="000000"/>
            </w:tcBorders>
            <w:hideMark/>
          </w:tcPr>
          <w:p w:rsidR="000527A3" w:rsidRDefault="000527A3">
            <w:pPr>
              <w:spacing w:after="0" w:line="240" w:lineRule="auto"/>
              <w:jc w:val="center"/>
              <w:rPr>
                <w:rFonts w:ascii="Times New Roman" w:eastAsia="Calibri" w:hAnsi="Times New Roman" w:cs="Times New Roman"/>
                <w:b/>
                <w:sz w:val="20"/>
                <w:szCs w:val="20"/>
              </w:rPr>
            </w:pPr>
            <w:proofErr w:type="spellStart"/>
            <w:r>
              <w:rPr>
                <w:rFonts w:ascii="Times New Roman" w:eastAsia="Calibri" w:hAnsi="Times New Roman" w:cs="Times New Roman"/>
                <w:b/>
                <w:sz w:val="20"/>
                <w:szCs w:val="20"/>
              </w:rPr>
              <w:t>pamatizglītība</w:t>
            </w:r>
            <w:proofErr w:type="spellEnd"/>
          </w:p>
        </w:tc>
        <w:tc>
          <w:tcPr>
            <w:tcW w:w="1939" w:type="dxa"/>
            <w:tcBorders>
              <w:top w:val="single" w:sz="4" w:space="0" w:color="000000"/>
              <w:left w:val="single" w:sz="4" w:space="0" w:color="000000"/>
              <w:bottom w:val="single" w:sz="4" w:space="0" w:color="000000"/>
              <w:right w:val="single" w:sz="4" w:space="0" w:color="000000"/>
            </w:tcBorders>
            <w:hideMark/>
          </w:tcPr>
          <w:p w:rsidR="000527A3" w:rsidRDefault="000527A3">
            <w:pPr>
              <w:spacing w:after="0" w:line="240" w:lineRule="auto"/>
              <w:jc w:val="center"/>
              <w:rPr>
                <w:rFonts w:ascii="Times New Roman" w:eastAsia="Calibri" w:hAnsi="Times New Roman" w:cs="Times New Roman"/>
                <w:b/>
                <w:sz w:val="20"/>
                <w:szCs w:val="20"/>
              </w:rPr>
            </w:pPr>
            <w:proofErr w:type="spellStart"/>
            <w:r>
              <w:rPr>
                <w:rFonts w:ascii="Times New Roman" w:eastAsia="Calibri" w:hAnsi="Times New Roman" w:cs="Times New Roman"/>
                <w:b/>
                <w:sz w:val="20"/>
                <w:szCs w:val="20"/>
              </w:rPr>
              <w:t>zemāka</w:t>
            </w:r>
            <w:proofErr w:type="spellEnd"/>
            <w:r>
              <w:rPr>
                <w:rFonts w:ascii="Times New Roman" w:eastAsia="Calibri" w:hAnsi="Times New Roman" w:cs="Times New Roman"/>
                <w:b/>
                <w:sz w:val="20"/>
                <w:szCs w:val="20"/>
              </w:rPr>
              <w:t xml:space="preserve"> par </w:t>
            </w:r>
            <w:proofErr w:type="spellStart"/>
            <w:r>
              <w:rPr>
                <w:rFonts w:ascii="Times New Roman" w:eastAsia="Calibri" w:hAnsi="Times New Roman" w:cs="Times New Roman"/>
                <w:b/>
                <w:sz w:val="20"/>
                <w:szCs w:val="20"/>
              </w:rPr>
              <w:t>pamatizglītību</w:t>
            </w:r>
            <w:proofErr w:type="spellEnd"/>
          </w:p>
        </w:tc>
        <w:tc>
          <w:tcPr>
            <w:tcW w:w="724" w:type="dxa"/>
            <w:tcBorders>
              <w:top w:val="single" w:sz="4" w:space="0" w:color="000000"/>
              <w:left w:val="single" w:sz="4" w:space="0" w:color="000000"/>
              <w:bottom w:val="single" w:sz="4" w:space="0" w:color="000000"/>
              <w:right w:val="single" w:sz="4" w:space="0" w:color="000000"/>
            </w:tcBorders>
            <w:hideMark/>
          </w:tcPr>
          <w:p w:rsidR="000527A3" w:rsidRDefault="000527A3">
            <w:pPr>
              <w:spacing w:after="0" w:line="240" w:lineRule="auto"/>
              <w:jc w:val="center"/>
              <w:rPr>
                <w:rFonts w:ascii="Times New Roman" w:eastAsia="Calibri" w:hAnsi="Times New Roman" w:cs="Times New Roman"/>
                <w:b/>
                <w:sz w:val="20"/>
                <w:szCs w:val="20"/>
              </w:rPr>
            </w:pPr>
            <w:proofErr w:type="spellStart"/>
            <w:r>
              <w:rPr>
                <w:rFonts w:ascii="Times New Roman" w:eastAsia="Calibri" w:hAnsi="Times New Roman" w:cs="Times New Roman"/>
                <w:b/>
                <w:sz w:val="20"/>
                <w:szCs w:val="20"/>
              </w:rPr>
              <w:t>kopā</w:t>
            </w:r>
            <w:proofErr w:type="spellEnd"/>
          </w:p>
        </w:tc>
      </w:tr>
      <w:tr w:rsidR="000527A3" w:rsidTr="000527A3">
        <w:tc>
          <w:tcPr>
            <w:tcW w:w="1418" w:type="dxa"/>
            <w:tcBorders>
              <w:top w:val="single" w:sz="4" w:space="0" w:color="000000"/>
              <w:left w:val="single" w:sz="4" w:space="0" w:color="000000"/>
              <w:bottom w:val="single" w:sz="4" w:space="0" w:color="000000"/>
              <w:right w:val="single" w:sz="4" w:space="0" w:color="000000"/>
            </w:tcBorders>
            <w:hideMark/>
          </w:tcPr>
          <w:p w:rsidR="000527A3" w:rsidRDefault="000527A3">
            <w:pPr>
              <w:spacing w:after="0" w:line="240" w:lineRule="auto"/>
              <w:jc w:val="center"/>
              <w:rPr>
                <w:rFonts w:ascii="Times New Roman" w:eastAsia="Calibri" w:hAnsi="Times New Roman" w:cs="Times New Roman"/>
                <w:b/>
                <w:sz w:val="20"/>
                <w:szCs w:val="20"/>
              </w:rPr>
            </w:pPr>
            <w:proofErr w:type="spellStart"/>
            <w:r>
              <w:rPr>
                <w:rFonts w:ascii="Times New Roman" w:eastAsia="Calibri" w:hAnsi="Times New Roman" w:cs="Times New Roman"/>
                <w:b/>
                <w:sz w:val="20"/>
                <w:szCs w:val="20"/>
              </w:rPr>
              <w:t>Bezdarbnieku</w:t>
            </w:r>
            <w:proofErr w:type="spellEnd"/>
            <w:r>
              <w:rPr>
                <w:rFonts w:ascii="Times New Roman" w:eastAsia="Calibri" w:hAnsi="Times New Roman" w:cs="Times New Roman"/>
                <w:b/>
                <w:sz w:val="20"/>
                <w:szCs w:val="20"/>
              </w:rPr>
              <w:t xml:space="preserve"> </w:t>
            </w:r>
            <w:proofErr w:type="spellStart"/>
            <w:r>
              <w:rPr>
                <w:rFonts w:ascii="Times New Roman" w:eastAsia="Calibri" w:hAnsi="Times New Roman" w:cs="Times New Roman"/>
                <w:b/>
                <w:sz w:val="20"/>
                <w:szCs w:val="20"/>
              </w:rPr>
              <w:t>skaits</w:t>
            </w:r>
            <w:proofErr w:type="spellEnd"/>
          </w:p>
        </w:tc>
        <w:tc>
          <w:tcPr>
            <w:tcW w:w="1178" w:type="dxa"/>
            <w:tcBorders>
              <w:top w:val="single" w:sz="4" w:space="0" w:color="000000"/>
              <w:left w:val="single" w:sz="4" w:space="0" w:color="000000"/>
              <w:bottom w:val="single" w:sz="4" w:space="0" w:color="000000"/>
              <w:right w:val="single" w:sz="4" w:space="0" w:color="000000"/>
            </w:tcBorders>
            <w:vAlign w:val="center"/>
            <w:hideMark/>
          </w:tcPr>
          <w:p w:rsidR="000527A3" w:rsidRDefault="000527A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27</w:t>
            </w:r>
          </w:p>
        </w:tc>
        <w:tc>
          <w:tcPr>
            <w:tcW w:w="1310" w:type="dxa"/>
            <w:tcBorders>
              <w:top w:val="single" w:sz="4" w:space="0" w:color="000000"/>
              <w:left w:val="single" w:sz="4" w:space="0" w:color="000000"/>
              <w:bottom w:val="single" w:sz="4" w:space="0" w:color="000000"/>
              <w:right w:val="single" w:sz="4" w:space="0" w:color="000000"/>
            </w:tcBorders>
            <w:vAlign w:val="center"/>
            <w:hideMark/>
          </w:tcPr>
          <w:p w:rsidR="000527A3" w:rsidRDefault="000527A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116</w:t>
            </w:r>
          </w:p>
        </w:tc>
        <w:tc>
          <w:tcPr>
            <w:tcW w:w="1212" w:type="dxa"/>
            <w:tcBorders>
              <w:top w:val="single" w:sz="4" w:space="0" w:color="000000"/>
              <w:left w:val="single" w:sz="4" w:space="0" w:color="000000"/>
              <w:bottom w:val="single" w:sz="4" w:space="0" w:color="000000"/>
              <w:right w:val="single" w:sz="4" w:space="0" w:color="000000"/>
            </w:tcBorders>
            <w:vAlign w:val="center"/>
            <w:hideMark/>
          </w:tcPr>
          <w:p w:rsidR="000527A3" w:rsidRDefault="000527A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81</w:t>
            </w:r>
          </w:p>
        </w:tc>
        <w:tc>
          <w:tcPr>
            <w:tcW w:w="1563" w:type="dxa"/>
            <w:tcBorders>
              <w:top w:val="single" w:sz="4" w:space="0" w:color="000000"/>
              <w:left w:val="single" w:sz="4" w:space="0" w:color="000000"/>
              <w:bottom w:val="single" w:sz="4" w:space="0" w:color="000000"/>
              <w:right w:val="single" w:sz="4" w:space="0" w:color="000000"/>
            </w:tcBorders>
            <w:vAlign w:val="center"/>
            <w:hideMark/>
          </w:tcPr>
          <w:p w:rsidR="000527A3" w:rsidRDefault="000527A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74</w:t>
            </w:r>
          </w:p>
        </w:tc>
        <w:tc>
          <w:tcPr>
            <w:tcW w:w="1939" w:type="dxa"/>
            <w:tcBorders>
              <w:top w:val="single" w:sz="4" w:space="0" w:color="000000"/>
              <w:left w:val="single" w:sz="4" w:space="0" w:color="000000"/>
              <w:bottom w:val="single" w:sz="4" w:space="0" w:color="000000"/>
              <w:right w:val="single" w:sz="4" w:space="0" w:color="000000"/>
            </w:tcBorders>
            <w:vAlign w:val="center"/>
            <w:hideMark/>
          </w:tcPr>
          <w:p w:rsidR="000527A3" w:rsidRDefault="000527A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724" w:type="dxa"/>
            <w:tcBorders>
              <w:top w:val="single" w:sz="4" w:space="0" w:color="000000"/>
              <w:left w:val="single" w:sz="4" w:space="0" w:color="000000"/>
              <w:bottom w:val="single" w:sz="4" w:space="0" w:color="000000"/>
              <w:right w:val="single" w:sz="4" w:space="0" w:color="000000"/>
            </w:tcBorders>
            <w:vAlign w:val="center"/>
            <w:hideMark/>
          </w:tcPr>
          <w:p w:rsidR="000527A3" w:rsidRDefault="000527A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303</w:t>
            </w:r>
          </w:p>
        </w:tc>
      </w:tr>
    </w:tbl>
    <w:p w:rsidR="000527A3" w:rsidRDefault="000527A3" w:rsidP="000527A3">
      <w:pPr>
        <w:spacing w:after="0" w:line="240" w:lineRule="auto"/>
        <w:ind w:firstLine="567"/>
        <w:jc w:val="right"/>
        <w:rPr>
          <w:rFonts w:ascii="Times New Roman" w:hAnsi="Times New Roman" w:cs="Times New Roman"/>
          <w:sz w:val="20"/>
          <w:szCs w:val="20"/>
        </w:rPr>
      </w:pPr>
      <w:r>
        <w:rPr>
          <w:rFonts w:ascii="Times New Roman" w:hAnsi="Times New Roman" w:cs="Times New Roman"/>
          <w:sz w:val="20"/>
          <w:szCs w:val="20"/>
        </w:rPr>
        <w:t>Avots: NVA dati</w:t>
      </w:r>
    </w:p>
    <w:p w:rsidR="000527A3" w:rsidRDefault="000527A3" w:rsidP="000527A3">
      <w:pPr>
        <w:spacing w:after="0" w:line="240" w:lineRule="auto"/>
        <w:ind w:firstLine="567"/>
        <w:jc w:val="center"/>
        <w:rPr>
          <w:rFonts w:ascii="Times New Roman" w:hAnsi="Times New Roman" w:cs="Times New Roman"/>
          <w:b/>
          <w:sz w:val="24"/>
          <w:szCs w:val="24"/>
        </w:rPr>
      </w:pPr>
    </w:p>
    <w:p w:rsidR="000527A3" w:rsidRDefault="000527A3" w:rsidP="000527A3">
      <w:pPr>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 xml:space="preserve">Bezdarbnieku sadalījums </w:t>
      </w:r>
      <w:proofErr w:type="spellStart"/>
      <w:r>
        <w:rPr>
          <w:rFonts w:ascii="Times New Roman" w:hAnsi="Times New Roman" w:cs="Times New Roman"/>
          <w:b/>
          <w:sz w:val="24"/>
          <w:szCs w:val="24"/>
        </w:rPr>
        <w:t>sadalījums</w:t>
      </w:r>
      <w:proofErr w:type="spellEnd"/>
      <w:r>
        <w:rPr>
          <w:rFonts w:ascii="Times New Roman" w:hAnsi="Times New Roman" w:cs="Times New Roman"/>
          <w:b/>
          <w:sz w:val="24"/>
          <w:szCs w:val="24"/>
        </w:rPr>
        <w:t xml:space="preserve"> pēc bezdarba ilguma</w:t>
      </w:r>
      <w:r>
        <w:t xml:space="preserve"> </w:t>
      </w:r>
      <w:r>
        <w:rPr>
          <w:rFonts w:ascii="Times New Roman" w:hAnsi="Times New Roman" w:cs="Times New Roman"/>
          <w:b/>
          <w:sz w:val="24"/>
          <w:szCs w:val="24"/>
        </w:rPr>
        <w:t>Viļakas novadā</w:t>
      </w:r>
    </w:p>
    <w:p w:rsidR="000527A3" w:rsidRDefault="000527A3" w:rsidP="000527A3">
      <w:pPr>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uz 2019.gada 31.decembri</w:t>
      </w:r>
    </w:p>
    <w:tbl>
      <w:tblPr>
        <w:tblStyle w:val="TableGrid4"/>
        <w:tblW w:w="0" w:type="auto"/>
        <w:tblInd w:w="0" w:type="dxa"/>
        <w:tblLook w:val="04A0" w:firstRow="1" w:lastRow="0" w:firstColumn="1" w:lastColumn="0" w:noHBand="0" w:noVBand="1"/>
      </w:tblPr>
      <w:tblGrid>
        <w:gridCol w:w="1459"/>
        <w:gridCol w:w="1406"/>
        <w:gridCol w:w="1406"/>
        <w:gridCol w:w="1390"/>
        <w:gridCol w:w="1352"/>
        <w:gridCol w:w="1283"/>
      </w:tblGrid>
      <w:tr w:rsidR="000527A3" w:rsidTr="000527A3">
        <w:tc>
          <w:tcPr>
            <w:tcW w:w="1478" w:type="dxa"/>
            <w:tcBorders>
              <w:top w:val="single" w:sz="4" w:space="0" w:color="000000"/>
              <w:left w:val="single" w:sz="4" w:space="0" w:color="000000"/>
              <w:bottom w:val="single" w:sz="4" w:space="0" w:color="000000"/>
              <w:right w:val="single" w:sz="4" w:space="0" w:color="000000"/>
            </w:tcBorders>
            <w:vAlign w:val="center"/>
            <w:hideMark/>
          </w:tcPr>
          <w:p w:rsidR="000527A3" w:rsidRDefault="000527A3">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 xml:space="preserve">Bezdarba </w:t>
            </w:r>
            <w:proofErr w:type="spellStart"/>
            <w:r>
              <w:rPr>
                <w:rFonts w:ascii="Times New Roman" w:eastAsia="Calibri" w:hAnsi="Times New Roman" w:cs="Times New Roman"/>
                <w:b/>
                <w:sz w:val="20"/>
                <w:szCs w:val="20"/>
              </w:rPr>
              <w:t>ilgums</w:t>
            </w:r>
            <w:proofErr w:type="spellEnd"/>
          </w:p>
        </w:tc>
        <w:tc>
          <w:tcPr>
            <w:tcW w:w="1550" w:type="dxa"/>
            <w:tcBorders>
              <w:top w:val="single" w:sz="4" w:space="0" w:color="000000"/>
              <w:left w:val="single" w:sz="4" w:space="0" w:color="000000"/>
              <w:bottom w:val="single" w:sz="4" w:space="0" w:color="000000"/>
              <w:right w:val="single" w:sz="4" w:space="0" w:color="000000"/>
            </w:tcBorders>
            <w:vAlign w:val="center"/>
            <w:hideMark/>
          </w:tcPr>
          <w:p w:rsidR="000527A3" w:rsidRDefault="000527A3">
            <w:pPr>
              <w:spacing w:after="0" w:line="240" w:lineRule="auto"/>
              <w:jc w:val="center"/>
              <w:rPr>
                <w:rFonts w:ascii="Times New Roman" w:eastAsia="Calibri" w:hAnsi="Times New Roman" w:cs="Times New Roman"/>
                <w:b/>
                <w:sz w:val="20"/>
                <w:szCs w:val="20"/>
              </w:rPr>
            </w:pPr>
            <w:proofErr w:type="spellStart"/>
            <w:r>
              <w:rPr>
                <w:rFonts w:ascii="Times New Roman" w:eastAsia="Calibri" w:hAnsi="Times New Roman" w:cs="Times New Roman"/>
                <w:b/>
                <w:sz w:val="20"/>
                <w:szCs w:val="20"/>
              </w:rPr>
              <w:t>Līdz</w:t>
            </w:r>
            <w:proofErr w:type="spellEnd"/>
            <w:r>
              <w:rPr>
                <w:rFonts w:ascii="Times New Roman" w:eastAsia="Calibri" w:hAnsi="Times New Roman" w:cs="Times New Roman"/>
                <w:b/>
                <w:sz w:val="20"/>
                <w:szCs w:val="20"/>
              </w:rPr>
              <w:t xml:space="preserve"> 6 </w:t>
            </w:r>
            <w:proofErr w:type="spellStart"/>
            <w:r>
              <w:rPr>
                <w:rFonts w:ascii="Times New Roman" w:eastAsia="Calibri" w:hAnsi="Times New Roman" w:cs="Times New Roman"/>
                <w:b/>
                <w:sz w:val="20"/>
                <w:szCs w:val="20"/>
              </w:rPr>
              <w:t>mēnešiem</w:t>
            </w:r>
            <w:proofErr w:type="spellEnd"/>
          </w:p>
        </w:tc>
        <w:tc>
          <w:tcPr>
            <w:tcW w:w="1550" w:type="dxa"/>
            <w:tcBorders>
              <w:top w:val="single" w:sz="4" w:space="0" w:color="000000"/>
              <w:left w:val="single" w:sz="4" w:space="0" w:color="000000"/>
              <w:bottom w:val="single" w:sz="4" w:space="0" w:color="000000"/>
              <w:right w:val="single" w:sz="4" w:space="0" w:color="000000"/>
            </w:tcBorders>
            <w:vAlign w:val="center"/>
            <w:hideMark/>
          </w:tcPr>
          <w:p w:rsidR="000527A3" w:rsidRDefault="000527A3">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 xml:space="preserve">6-12 </w:t>
            </w:r>
            <w:proofErr w:type="spellStart"/>
            <w:r>
              <w:rPr>
                <w:rFonts w:ascii="Times New Roman" w:eastAsia="Calibri" w:hAnsi="Times New Roman" w:cs="Times New Roman"/>
                <w:b/>
                <w:sz w:val="20"/>
                <w:szCs w:val="20"/>
              </w:rPr>
              <w:t>mēnešiem</w:t>
            </w:r>
            <w:proofErr w:type="spellEnd"/>
          </w:p>
        </w:tc>
        <w:tc>
          <w:tcPr>
            <w:tcW w:w="1620" w:type="dxa"/>
            <w:tcBorders>
              <w:top w:val="single" w:sz="4" w:space="0" w:color="000000"/>
              <w:left w:val="single" w:sz="4" w:space="0" w:color="000000"/>
              <w:bottom w:val="single" w:sz="4" w:space="0" w:color="000000"/>
              <w:right w:val="single" w:sz="4" w:space="0" w:color="000000"/>
            </w:tcBorders>
            <w:vAlign w:val="center"/>
            <w:hideMark/>
          </w:tcPr>
          <w:p w:rsidR="000527A3" w:rsidRDefault="000527A3">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 xml:space="preserve">1—3 </w:t>
            </w:r>
            <w:proofErr w:type="spellStart"/>
            <w:r>
              <w:rPr>
                <w:rFonts w:ascii="Times New Roman" w:eastAsia="Calibri" w:hAnsi="Times New Roman" w:cs="Times New Roman"/>
                <w:b/>
                <w:sz w:val="20"/>
                <w:szCs w:val="20"/>
              </w:rPr>
              <w:t>gadiem</w:t>
            </w:r>
            <w:proofErr w:type="spellEnd"/>
          </w:p>
        </w:tc>
        <w:tc>
          <w:tcPr>
            <w:tcW w:w="1594" w:type="dxa"/>
            <w:tcBorders>
              <w:top w:val="single" w:sz="4" w:space="0" w:color="000000"/>
              <w:left w:val="single" w:sz="4" w:space="0" w:color="000000"/>
              <w:bottom w:val="single" w:sz="4" w:space="0" w:color="000000"/>
              <w:right w:val="single" w:sz="4" w:space="0" w:color="000000"/>
            </w:tcBorders>
            <w:vAlign w:val="center"/>
            <w:hideMark/>
          </w:tcPr>
          <w:p w:rsidR="000527A3" w:rsidRDefault="000527A3">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 xml:space="preserve">3 </w:t>
            </w:r>
            <w:proofErr w:type="spellStart"/>
            <w:r>
              <w:rPr>
                <w:rFonts w:ascii="Times New Roman" w:eastAsia="Calibri" w:hAnsi="Times New Roman" w:cs="Times New Roman"/>
                <w:b/>
                <w:sz w:val="20"/>
                <w:szCs w:val="20"/>
              </w:rPr>
              <w:t>gadi</w:t>
            </w:r>
            <w:proofErr w:type="spellEnd"/>
            <w:r>
              <w:rPr>
                <w:rFonts w:ascii="Times New Roman" w:eastAsia="Calibri" w:hAnsi="Times New Roman" w:cs="Times New Roman"/>
                <w:b/>
                <w:sz w:val="20"/>
                <w:szCs w:val="20"/>
              </w:rPr>
              <w:t xml:space="preserve"> un </w:t>
            </w:r>
            <w:proofErr w:type="spellStart"/>
            <w:r>
              <w:rPr>
                <w:rFonts w:ascii="Times New Roman" w:eastAsia="Calibri" w:hAnsi="Times New Roman" w:cs="Times New Roman"/>
                <w:b/>
                <w:sz w:val="20"/>
                <w:szCs w:val="20"/>
              </w:rPr>
              <w:t>vairāk</w:t>
            </w:r>
            <w:proofErr w:type="spellEnd"/>
          </w:p>
        </w:tc>
        <w:tc>
          <w:tcPr>
            <w:tcW w:w="1552" w:type="dxa"/>
            <w:tcBorders>
              <w:top w:val="single" w:sz="4" w:space="0" w:color="000000"/>
              <w:left w:val="single" w:sz="4" w:space="0" w:color="000000"/>
              <w:bottom w:val="single" w:sz="4" w:space="0" w:color="000000"/>
              <w:right w:val="single" w:sz="4" w:space="0" w:color="000000"/>
            </w:tcBorders>
            <w:vAlign w:val="center"/>
            <w:hideMark/>
          </w:tcPr>
          <w:p w:rsidR="000527A3" w:rsidRDefault="000527A3">
            <w:pPr>
              <w:spacing w:after="0" w:line="240" w:lineRule="auto"/>
              <w:jc w:val="center"/>
              <w:rPr>
                <w:rFonts w:ascii="Times New Roman" w:eastAsia="Calibri" w:hAnsi="Times New Roman" w:cs="Times New Roman"/>
                <w:b/>
                <w:sz w:val="20"/>
                <w:szCs w:val="20"/>
              </w:rPr>
            </w:pPr>
            <w:proofErr w:type="spellStart"/>
            <w:r>
              <w:rPr>
                <w:rFonts w:ascii="Times New Roman" w:eastAsia="Calibri" w:hAnsi="Times New Roman" w:cs="Times New Roman"/>
                <w:b/>
                <w:sz w:val="20"/>
                <w:szCs w:val="20"/>
              </w:rPr>
              <w:t>kopā</w:t>
            </w:r>
            <w:proofErr w:type="spellEnd"/>
          </w:p>
        </w:tc>
      </w:tr>
      <w:tr w:rsidR="000527A3" w:rsidTr="000527A3">
        <w:tc>
          <w:tcPr>
            <w:tcW w:w="1478" w:type="dxa"/>
            <w:tcBorders>
              <w:top w:val="single" w:sz="4" w:space="0" w:color="000000"/>
              <w:left w:val="single" w:sz="4" w:space="0" w:color="000000"/>
              <w:bottom w:val="single" w:sz="4" w:space="0" w:color="000000"/>
              <w:right w:val="single" w:sz="4" w:space="0" w:color="000000"/>
            </w:tcBorders>
            <w:hideMark/>
          </w:tcPr>
          <w:p w:rsidR="000527A3" w:rsidRDefault="000527A3">
            <w:pPr>
              <w:spacing w:after="0" w:line="240" w:lineRule="auto"/>
              <w:jc w:val="center"/>
              <w:rPr>
                <w:rFonts w:ascii="Times New Roman" w:eastAsia="Calibri" w:hAnsi="Times New Roman" w:cs="Times New Roman"/>
                <w:b/>
                <w:sz w:val="20"/>
                <w:szCs w:val="20"/>
              </w:rPr>
            </w:pPr>
            <w:proofErr w:type="spellStart"/>
            <w:r>
              <w:rPr>
                <w:rFonts w:ascii="Times New Roman" w:eastAsia="Calibri" w:hAnsi="Times New Roman" w:cs="Times New Roman"/>
                <w:b/>
                <w:sz w:val="20"/>
                <w:szCs w:val="20"/>
              </w:rPr>
              <w:t>Bezdarbnieku</w:t>
            </w:r>
            <w:proofErr w:type="spellEnd"/>
            <w:r>
              <w:rPr>
                <w:rFonts w:ascii="Times New Roman" w:eastAsia="Calibri" w:hAnsi="Times New Roman" w:cs="Times New Roman"/>
                <w:b/>
                <w:sz w:val="20"/>
                <w:szCs w:val="20"/>
              </w:rPr>
              <w:t xml:space="preserve"> </w:t>
            </w:r>
            <w:proofErr w:type="spellStart"/>
            <w:r>
              <w:rPr>
                <w:rFonts w:ascii="Times New Roman" w:eastAsia="Calibri" w:hAnsi="Times New Roman" w:cs="Times New Roman"/>
                <w:b/>
                <w:sz w:val="20"/>
                <w:szCs w:val="20"/>
              </w:rPr>
              <w:t>skaits</w:t>
            </w:r>
            <w:proofErr w:type="spellEnd"/>
          </w:p>
        </w:tc>
        <w:tc>
          <w:tcPr>
            <w:tcW w:w="1550" w:type="dxa"/>
            <w:tcBorders>
              <w:top w:val="single" w:sz="4" w:space="0" w:color="000000"/>
              <w:left w:val="single" w:sz="4" w:space="0" w:color="000000"/>
              <w:bottom w:val="single" w:sz="4" w:space="0" w:color="000000"/>
              <w:right w:val="single" w:sz="4" w:space="0" w:color="000000"/>
            </w:tcBorders>
            <w:hideMark/>
          </w:tcPr>
          <w:p w:rsidR="000527A3" w:rsidRDefault="000527A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115</w:t>
            </w:r>
          </w:p>
        </w:tc>
        <w:tc>
          <w:tcPr>
            <w:tcW w:w="1550" w:type="dxa"/>
            <w:tcBorders>
              <w:top w:val="single" w:sz="4" w:space="0" w:color="000000"/>
              <w:left w:val="single" w:sz="4" w:space="0" w:color="000000"/>
              <w:bottom w:val="single" w:sz="4" w:space="0" w:color="000000"/>
              <w:right w:val="single" w:sz="4" w:space="0" w:color="000000"/>
            </w:tcBorders>
            <w:hideMark/>
          </w:tcPr>
          <w:p w:rsidR="000527A3" w:rsidRDefault="000527A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38</w:t>
            </w:r>
          </w:p>
        </w:tc>
        <w:tc>
          <w:tcPr>
            <w:tcW w:w="1620" w:type="dxa"/>
            <w:tcBorders>
              <w:top w:val="single" w:sz="4" w:space="0" w:color="000000"/>
              <w:left w:val="single" w:sz="4" w:space="0" w:color="000000"/>
              <w:bottom w:val="single" w:sz="4" w:space="0" w:color="000000"/>
              <w:right w:val="single" w:sz="4" w:space="0" w:color="000000"/>
            </w:tcBorders>
            <w:hideMark/>
          </w:tcPr>
          <w:p w:rsidR="000527A3" w:rsidRDefault="000527A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80</w:t>
            </w:r>
          </w:p>
        </w:tc>
        <w:tc>
          <w:tcPr>
            <w:tcW w:w="1594" w:type="dxa"/>
            <w:tcBorders>
              <w:top w:val="single" w:sz="4" w:space="0" w:color="000000"/>
              <w:left w:val="single" w:sz="4" w:space="0" w:color="000000"/>
              <w:bottom w:val="single" w:sz="4" w:space="0" w:color="000000"/>
              <w:right w:val="single" w:sz="4" w:space="0" w:color="000000"/>
            </w:tcBorders>
            <w:hideMark/>
          </w:tcPr>
          <w:p w:rsidR="000527A3" w:rsidRDefault="000527A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70</w:t>
            </w:r>
          </w:p>
        </w:tc>
        <w:tc>
          <w:tcPr>
            <w:tcW w:w="1552" w:type="dxa"/>
            <w:tcBorders>
              <w:top w:val="single" w:sz="4" w:space="0" w:color="000000"/>
              <w:left w:val="single" w:sz="4" w:space="0" w:color="000000"/>
              <w:bottom w:val="single" w:sz="4" w:space="0" w:color="000000"/>
              <w:right w:val="single" w:sz="4" w:space="0" w:color="000000"/>
            </w:tcBorders>
            <w:hideMark/>
          </w:tcPr>
          <w:p w:rsidR="000527A3" w:rsidRDefault="000527A3">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303</w:t>
            </w:r>
          </w:p>
        </w:tc>
      </w:tr>
    </w:tbl>
    <w:p w:rsidR="000527A3" w:rsidRDefault="000527A3" w:rsidP="000527A3">
      <w:pPr>
        <w:spacing w:after="0" w:line="240" w:lineRule="auto"/>
        <w:ind w:firstLine="567"/>
        <w:jc w:val="right"/>
        <w:rPr>
          <w:rFonts w:ascii="Times New Roman" w:hAnsi="Times New Roman" w:cs="Times New Roman"/>
          <w:sz w:val="20"/>
          <w:szCs w:val="20"/>
        </w:rPr>
      </w:pPr>
      <w:r>
        <w:rPr>
          <w:rFonts w:ascii="Times New Roman" w:hAnsi="Times New Roman" w:cs="Times New Roman"/>
          <w:sz w:val="20"/>
          <w:szCs w:val="20"/>
        </w:rPr>
        <w:t>Avots: NVA dati</w:t>
      </w:r>
    </w:p>
    <w:p w:rsidR="000527A3" w:rsidRDefault="000527A3" w:rsidP="000527A3">
      <w:pPr>
        <w:spacing w:after="0" w:line="240" w:lineRule="auto"/>
        <w:ind w:firstLine="567"/>
        <w:jc w:val="center"/>
        <w:rPr>
          <w:rFonts w:ascii="Times New Roman" w:hAnsi="Times New Roman" w:cs="Times New Roman"/>
          <w:b/>
          <w:sz w:val="24"/>
          <w:szCs w:val="24"/>
        </w:rPr>
      </w:pPr>
    </w:p>
    <w:p w:rsidR="000527A3" w:rsidRDefault="000527A3" w:rsidP="000527A3">
      <w:pPr>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Uzņēmumi</w:t>
      </w:r>
    </w:p>
    <w:p w:rsidR="000527A3" w:rsidRDefault="000527A3" w:rsidP="000527A3">
      <w:pPr>
        <w:spacing w:after="0" w:line="240" w:lineRule="auto"/>
        <w:ind w:firstLine="567"/>
        <w:jc w:val="center"/>
        <w:rPr>
          <w:rFonts w:ascii="Times New Roman" w:hAnsi="Times New Roman" w:cs="Times New Roman"/>
          <w:b/>
          <w:sz w:val="24"/>
          <w:szCs w:val="24"/>
        </w:rPr>
      </w:pPr>
    </w:p>
    <w:p w:rsidR="000527A3" w:rsidRDefault="000527A3" w:rsidP="000527A3">
      <w:pPr>
        <w:pStyle w:val="Bezatstarpm"/>
        <w:ind w:firstLine="567"/>
        <w:jc w:val="both"/>
        <w:rPr>
          <w:rFonts w:ascii="Times New Roman" w:hAnsi="Times New Roman"/>
          <w:sz w:val="24"/>
          <w:szCs w:val="24"/>
        </w:rPr>
      </w:pPr>
      <w:r>
        <w:rPr>
          <w:rFonts w:ascii="Times New Roman" w:hAnsi="Times New Roman"/>
          <w:sz w:val="24"/>
          <w:szCs w:val="24"/>
        </w:rPr>
        <w:t xml:space="preserve">Pēc Lursoft informācijas Viļakas novadā 2019.gadā ir reģistrēti 11 uzņēmumi </w:t>
      </w:r>
      <w:proofErr w:type="spellStart"/>
      <w:r>
        <w:rPr>
          <w:rFonts w:ascii="Times New Roman" w:hAnsi="Times New Roman"/>
          <w:sz w:val="24"/>
          <w:szCs w:val="24"/>
        </w:rPr>
        <w:t>tsk</w:t>
      </w:r>
      <w:proofErr w:type="spellEnd"/>
      <w:r>
        <w:rPr>
          <w:rFonts w:ascii="Times New Roman" w:hAnsi="Times New Roman"/>
          <w:sz w:val="24"/>
          <w:szCs w:val="24"/>
        </w:rPr>
        <w:t xml:space="preserve">. sabiedrība ar ierobežotu atbildību - 9, ārvalstu komersanta filiāle – 1, individuālais uzņēmums – 1, bet likvidēti arī 21 uzņēmums. </w:t>
      </w:r>
    </w:p>
    <w:p w:rsidR="000527A3" w:rsidRDefault="000527A3" w:rsidP="000527A3">
      <w:pPr>
        <w:pStyle w:val="Bezatstarpm"/>
        <w:ind w:firstLine="567"/>
        <w:jc w:val="both"/>
        <w:rPr>
          <w:rFonts w:ascii="Times New Roman" w:hAnsi="Times New Roman"/>
          <w:sz w:val="24"/>
          <w:szCs w:val="24"/>
        </w:rPr>
      </w:pPr>
      <w:r>
        <w:rPr>
          <w:rFonts w:ascii="Times New Roman" w:hAnsi="Times New Roman"/>
          <w:sz w:val="24"/>
          <w:szCs w:val="24"/>
        </w:rPr>
        <w:t xml:space="preserve">Kopumā Viļakas novadā darbojas 341 dažādu tiesisko formu juridiskas personas t.sk. pašvaldības iestādes, biedrības un draudzes. Vērtējot uzņēmējdarbības izplatību novada teritorijā, visvairāk uzņēmēju ir Šķilbēnu pagastā 84 vienības, otrā vietā Viļakas pilsēta 54 vienības, vismazāk uzņēmēju ir Žīguru pagastā 23 vienības un Kupravas pagastā 17 vienības. </w:t>
      </w:r>
    </w:p>
    <w:p w:rsidR="000527A3" w:rsidRDefault="000527A3" w:rsidP="000527A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Viļakas novadā strādā 1 lauku attīstības speciālists, kurš sniedz konsultācijas lauksaimniekiem un rīko informatīvos seminārus. </w:t>
      </w:r>
    </w:p>
    <w:p w:rsidR="000527A3" w:rsidRDefault="000527A3" w:rsidP="000527A3">
      <w:pPr>
        <w:spacing w:after="0" w:line="240" w:lineRule="auto"/>
        <w:ind w:firstLine="567"/>
        <w:jc w:val="center"/>
        <w:rPr>
          <w:rFonts w:ascii="Times New Roman" w:hAnsi="Times New Roman" w:cs="Times New Roman"/>
          <w:b/>
          <w:sz w:val="24"/>
          <w:szCs w:val="24"/>
        </w:rPr>
      </w:pPr>
    </w:p>
    <w:p w:rsidR="000527A3" w:rsidRDefault="000527A3" w:rsidP="000527A3">
      <w:pPr>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Uzņēmumu un iestāžu skaits Viļakas novadā 2019.gadā</w:t>
      </w:r>
    </w:p>
    <w:tbl>
      <w:tblPr>
        <w:tblW w:w="5580" w:type="dxa"/>
        <w:jc w:val="center"/>
        <w:tblLook w:val="04A0" w:firstRow="1" w:lastRow="0" w:firstColumn="1" w:lastColumn="0" w:noHBand="0" w:noVBand="1"/>
      </w:tblPr>
      <w:tblGrid>
        <w:gridCol w:w="2140"/>
        <w:gridCol w:w="1840"/>
        <w:gridCol w:w="1600"/>
      </w:tblGrid>
      <w:tr w:rsidR="000527A3" w:rsidTr="000527A3">
        <w:trPr>
          <w:trHeight w:val="1260"/>
          <w:jc w:val="center"/>
        </w:trPr>
        <w:tc>
          <w:tcPr>
            <w:tcW w:w="2140" w:type="dxa"/>
            <w:tcBorders>
              <w:top w:val="single" w:sz="4" w:space="0" w:color="auto"/>
              <w:left w:val="single" w:sz="4" w:space="0" w:color="auto"/>
              <w:bottom w:val="single" w:sz="4" w:space="0" w:color="auto"/>
              <w:right w:val="single" w:sz="4" w:space="0" w:color="auto"/>
            </w:tcBorders>
            <w:vAlign w:val="center"/>
            <w:hideMark/>
          </w:tcPr>
          <w:p w:rsidR="000527A3" w:rsidRDefault="000527A3">
            <w:pPr>
              <w:spacing w:after="0" w:line="240" w:lineRule="auto"/>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Nosaukums</w:t>
            </w:r>
          </w:p>
        </w:tc>
        <w:tc>
          <w:tcPr>
            <w:tcW w:w="1840" w:type="dxa"/>
            <w:tcBorders>
              <w:top w:val="single" w:sz="4" w:space="0" w:color="auto"/>
              <w:left w:val="nil"/>
              <w:bottom w:val="single" w:sz="4" w:space="0" w:color="auto"/>
              <w:right w:val="single" w:sz="4" w:space="0" w:color="auto"/>
            </w:tcBorders>
            <w:vAlign w:val="center"/>
            <w:hideMark/>
          </w:tcPr>
          <w:p w:rsidR="000527A3" w:rsidRDefault="000527A3">
            <w:pPr>
              <w:spacing w:after="0" w:line="240" w:lineRule="auto"/>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Uzņēmumu skaits</w:t>
            </w:r>
          </w:p>
        </w:tc>
        <w:tc>
          <w:tcPr>
            <w:tcW w:w="1600" w:type="dxa"/>
            <w:tcBorders>
              <w:top w:val="single" w:sz="4" w:space="0" w:color="auto"/>
              <w:left w:val="nil"/>
              <w:bottom w:val="single" w:sz="4" w:space="0" w:color="auto"/>
              <w:right w:val="single" w:sz="4" w:space="0" w:color="auto"/>
            </w:tcBorders>
            <w:vAlign w:val="center"/>
            <w:hideMark/>
          </w:tcPr>
          <w:p w:rsidR="000527A3" w:rsidRDefault="000527A3">
            <w:pPr>
              <w:spacing w:after="0" w:line="240" w:lineRule="auto"/>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Pašvaldības iestāžu skaits</w:t>
            </w:r>
          </w:p>
        </w:tc>
      </w:tr>
      <w:tr w:rsidR="000527A3" w:rsidTr="000527A3">
        <w:trPr>
          <w:trHeight w:val="315"/>
          <w:jc w:val="center"/>
        </w:trPr>
        <w:tc>
          <w:tcPr>
            <w:tcW w:w="2140" w:type="dxa"/>
            <w:tcBorders>
              <w:top w:val="nil"/>
              <w:left w:val="single" w:sz="4" w:space="0" w:color="auto"/>
              <w:bottom w:val="single" w:sz="4" w:space="0" w:color="auto"/>
              <w:right w:val="single" w:sz="4" w:space="0" w:color="auto"/>
            </w:tcBorders>
            <w:vAlign w:val="center"/>
            <w:hideMark/>
          </w:tcPr>
          <w:p w:rsidR="000527A3" w:rsidRDefault="000527A3">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Kupravas pagasts</w:t>
            </w:r>
          </w:p>
        </w:tc>
        <w:tc>
          <w:tcPr>
            <w:tcW w:w="1840" w:type="dxa"/>
            <w:tcBorders>
              <w:top w:val="nil"/>
              <w:left w:val="nil"/>
              <w:bottom w:val="single" w:sz="4" w:space="0" w:color="auto"/>
              <w:right w:val="single" w:sz="4" w:space="0" w:color="auto"/>
            </w:tcBorders>
            <w:vAlign w:val="center"/>
            <w:hideMark/>
          </w:tcPr>
          <w:p w:rsidR="000527A3" w:rsidRDefault="000527A3">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17</w:t>
            </w:r>
          </w:p>
        </w:tc>
        <w:tc>
          <w:tcPr>
            <w:tcW w:w="1600" w:type="dxa"/>
            <w:tcBorders>
              <w:top w:val="nil"/>
              <w:left w:val="nil"/>
              <w:bottom w:val="single" w:sz="4" w:space="0" w:color="auto"/>
              <w:right w:val="single" w:sz="4" w:space="0" w:color="auto"/>
            </w:tcBorders>
            <w:vAlign w:val="center"/>
            <w:hideMark/>
          </w:tcPr>
          <w:p w:rsidR="000527A3" w:rsidRDefault="000527A3">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p>
        </w:tc>
      </w:tr>
      <w:tr w:rsidR="000527A3" w:rsidTr="000527A3">
        <w:trPr>
          <w:trHeight w:val="315"/>
          <w:jc w:val="center"/>
        </w:trPr>
        <w:tc>
          <w:tcPr>
            <w:tcW w:w="2140" w:type="dxa"/>
            <w:tcBorders>
              <w:top w:val="nil"/>
              <w:left w:val="single" w:sz="4" w:space="0" w:color="auto"/>
              <w:bottom w:val="single" w:sz="4" w:space="0" w:color="auto"/>
              <w:right w:val="single" w:sz="4" w:space="0" w:color="auto"/>
            </w:tcBorders>
            <w:vAlign w:val="bottom"/>
            <w:hideMark/>
          </w:tcPr>
          <w:p w:rsidR="000527A3" w:rsidRDefault="000527A3">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Medņevas pagasts</w:t>
            </w:r>
          </w:p>
        </w:tc>
        <w:tc>
          <w:tcPr>
            <w:tcW w:w="1840" w:type="dxa"/>
            <w:tcBorders>
              <w:top w:val="nil"/>
              <w:left w:val="nil"/>
              <w:bottom w:val="single" w:sz="4" w:space="0" w:color="auto"/>
              <w:right w:val="single" w:sz="4" w:space="0" w:color="auto"/>
            </w:tcBorders>
            <w:vAlign w:val="bottom"/>
            <w:hideMark/>
          </w:tcPr>
          <w:p w:rsidR="000527A3" w:rsidRDefault="000527A3">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46</w:t>
            </w:r>
          </w:p>
        </w:tc>
        <w:tc>
          <w:tcPr>
            <w:tcW w:w="1600" w:type="dxa"/>
            <w:tcBorders>
              <w:top w:val="nil"/>
              <w:left w:val="nil"/>
              <w:bottom w:val="single" w:sz="4" w:space="0" w:color="auto"/>
              <w:right w:val="single" w:sz="4" w:space="0" w:color="auto"/>
            </w:tcBorders>
            <w:vAlign w:val="bottom"/>
            <w:hideMark/>
          </w:tcPr>
          <w:p w:rsidR="000527A3" w:rsidRDefault="000527A3">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p>
        </w:tc>
      </w:tr>
      <w:tr w:rsidR="000527A3" w:rsidTr="000527A3">
        <w:trPr>
          <w:trHeight w:val="315"/>
          <w:jc w:val="center"/>
        </w:trPr>
        <w:tc>
          <w:tcPr>
            <w:tcW w:w="2140" w:type="dxa"/>
            <w:tcBorders>
              <w:top w:val="nil"/>
              <w:left w:val="single" w:sz="4" w:space="0" w:color="auto"/>
              <w:bottom w:val="single" w:sz="4" w:space="0" w:color="auto"/>
              <w:right w:val="single" w:sz="4" w:space="0" w:color="auto"/>
            </w:tcBorders>
            <w:vAlign w:val="bottom"/>
            <w:hideMark/>
          </w:tcPr>
          <w:p w:rsidR="000527A3" w:rsidRDefault="000527A3">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Susāju pagasts</w:t>
            </w:r>
          </w:p>
        </w:tc>
        <w:tc>
          <w:tcPr>
            <w:tcW w:w="1840" w:type="dxa"/>
            <w:tcBorders>
              <w:top w:val="nil"/>
              <w:left w:val="nil"/>
              <w:bottom w:val="single" w:sz="4" w:space="0" w:color="auto"/>
              <w:right w:val="single" w:sz="4" w:space="0" w:color="auto"/>
            </w:tcBorders>
            <w:vAlign w:val="bottom"/>
            <w:hideMark/>
          </w:tcPr>
          <w:p w:rsidR="000527A3" w:rsidRDefault="000527A3">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52</w:t>
            </w:r>
          </w:p>
        </w:tc>
        <w:tc>
          <w:tcPr>
            <w:tcW w:w="1600" w:type="dxa"/>
            <w:tcBorders>
              <w:top w:val="nil"/>
              <w:left w:val="nil"/>
              <w:bottom w:val="single" w:sz="4" w:space="0" w:color="auto"/>
              <w:right w:val="single" w:sz="4" w:space="0" w:color="auto"/>
            </w:tcBorders>
            <w:vAlign w:val="bottom"/>
            <w:hideMark/>
          </w:tcPr>
          <w:p w:rsidR="000527A3" w:rsidRDefault="000527A3">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p>
        </w:tc>
      </w:tr>
      <w:tr w:rsidR="000527A3" w:rsidTr="000527A3">
        <w:trPr>
          <w:trHeight w:val="315"/>
          <w:jc w:val="center"/>
        </w:trPr>
        <w:tc>
          <w:tcPr>
            <w:tcW w:w="2140" w:type="dxa"/>
            <w:tcBorders>
              <w:top w:val="nil"/>
              <w:left w:val="single" w:sz="4" w:space="0" w:color="auto"/>
              <w:bottom w:val="single" w:sz="4" w:space="0" w:color="auto"/>
              <w:right w:val="single" w:sz="4" w:space="0" w:color="auto"/>
            </w:tcBorders>
            <w:vAlign w:val="bottom"/>
            <w:hideMark/>
          </w:tcPr>
          <w:p w:rsidR="000527A3" w:rsidRDefault="000527A3">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Šķilbēnu pagasts</w:t>
            </w:r>
          </w:p>
        </w:tc>
        <w:tc>
          <w:tcPr>
            <w:tcW w:w="1840" w:type="dxa"/>
            <w:tcBorders>
              <w:top w:val="nil"/>
              <w:left w:val="nil"/>
              <w:bottom w:val="single" w:sz="4" w:space="0" w:color="auto"/>
              <w:right w:val="single" w:sz="4" w:space="0" w:color="auto"/>
            </w:tcBorders>
            <w:vAlign w:val="bottom"/>
            <w:hideMark/>
          </w:tcPr>
          <w:p w:rsidR="000527A3" w:rsidRDefault="000527A3">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84</w:t>
            </w:r>
          </w:p>
        </w:tc>
        <w:tc>
          <w:tcPr>
            <w:tcW w:w="1600" w:type="dxa"/>
            <w:tcBorders>
              <w:top w:val="nil"/>
              <w:left w:val="nil"/>
              <w:bottom w:val="single" w:sz="4" w:space="0" w:color="auto"/>
              <w:right w:val="single" w:sz="4" w:space="0" w:color="auto"/>
            </w:tcBorders>
            <w:vAlign w:val="bottom"/>
            <w:hideMark/>
          </w:tcPr>
          <w:p w:rsidR="000527A3" w:rsidRDefault="000527A3">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p>
        </w:tc>
      </w:tr>
      <w:tr w:rsidR="000527A3" w:rsidTr="000527A3">
        <w:trPr>
          <w:trHeight w:val="315"/>
          <w:jc w:val="center"/>
        </w:trPr>
        <w:tc>
          <w:tcPr>
            <w:tcW w:w="2140" w:type="dxa"/>
            <w:tcBorders>
              <w:top w:val="nil"/>
              <w:left w:val="single" w:sz="4" w:space="0" w:color="auto"/>
              <w:bottom w:val="single" w:sz="4" w:space="0" w:color="auto"/>
              <w:right w:val="single" w:sz="4" w:space="0" w:color="auto"/>
            </w:tcBorders>
            <w:vAlign w:val="bottom"/>
            <w:hideMark/>
          </w:tcPr>
          <w:p w:rsidR="000527A3" w:rsidRDefault="000527A3">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Vecumu pagasts</w:t>
            </w:r>
          </w:p>
        </w:tc>
        <w:tc>
          <w:tcPr>
            <w:tcW w:w="1840" w:type="dxa"/>
            <w:tcBorders>
              <w:top w:val="nil"/>
              <w:left w:val="nil"/>
              <w:bottom w:val="single" w:sz="4" w:space="0" w:color="auto"/>
              <w:right w:val="single" w:sz="4" w:space="0" w:color="auto"/>
            </w:tcBorders>
            <w:vAlign w:val="bottom"/>
            <w:hideMark/>
          </w:tcPr>
          <w:p w:rsidR="000527A3" w:rsidRDefault="000527A3">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26</w:t>
            </w:r>
          </w:p>
        </w:tc>
        <w:tc>
          <w:tcPr>
            <w:tcW w:w="1600" w:type="dxa"/>
            <w:tcBorders>
              <w:top w:val="nil"/>
              <w:left w:val="nil"/>
              <w:bottom w:val="single" w:sz="4" w:space="0" w:color="auto"/>
              <w:right w:val="single" w:sz="4" w:space="0" w:color="auto"/>
            </w:tcBorders>
            <w:vAlign w:val="bottom"/>
            <w:hideMark/>
          </w:tcPr>
          <w:p w:rsidR="000527A3" w:rsidRDefault="000527A3">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p>
        </w:tc>
      </w:tr>
      <w:tr w:rsidR="000527A3" w:rsidTr="000527A3">
        <w:trPr>
          <w:trHeight w:val="315"/>
          <w:jc w:val="center"/>
        </w:trPr>
        <w:tc>
          <w:tcPr>
            <w:tcW w:w="2140" w:type="dxa"/>
            <w:tcBorders>
              <w:top w:val="nil"/>
              <w:left w:val="single" w:sz="4" w:space="0" w:color="auto"/>
              <w:bottom w:val="single" w:sz="4" w:space="0" w:color="auto"/>
              <w:right w:val="single" w:sz="4" w:space="0" w:color="auto"/>
            </w:tcBorders>
            <w:vAlign w:val="bottom"/>
            <w:hideMark/>
          </w:tcPr>
          <w:p w:rsidR="000527A3" w:rsidRDefault="000527A3">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Žīguru pagasts</w:t>
            </w:r>
          </w:p>
        </w:tc>
        <w:tc>
          <w:tcPr>
            <w:tcW w:w="1840" w:type="dxa"/>
            <w:tcBorders>
              <w:top w:val="nil"/>
              <w:left w:val="nil"/>
              <w:bottom w:val="single" w:sz="4" w:space="0" w:color="auto"/>
              <w:right w:val="single" w:sz="4" w:space="0" w:color="auto"/>
            </w:tcBorders>
            <w:vAlign w:val="bottom"/>
            <w:hideMark/>
          </w:tcPr>
          <w:p w:rsidR="000527A3" w:rsidRDefault="000527A3">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23</w:t>
            </w:r>
          </w:p>
        </w:tc>
        <w:tc>
          <w:tcPr>
            <w:tcW w:w="1600" w:type="dxa"/>
            <w:tcBorders>
              <w:top w:val="nil"/>
              <w:left w:val="nil"/>
              <w:bottom w:val="single" w:sz="4" w:space="0" w:color="auto"/>
              <w:right w:val="single" w:sz="4" w:space="0" w:color="auto"/>
            </w:tcBorders>
            <w:vAlign w:val="bottom"/>
            <w:hideMark/>
          </w:tcPr>
          <w:p w:rsidR="000527A3" w:rsidRDefault="000527A3">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p>
        </w:tc>
      </w:tr>
      <w:tr w:rsidR="000527A3" w:rsidTr="000527A3">
        <w:trPr>
          <w:trHeight w:val="315"/>
          <w:jc w:val="center"/>
        </w:trPr>
        <w:tc>
          <w:tcPr>
            <w:tcW w:w="2140" w:type="dxa"/>
            <w:tcBorders>
              <w:top w:val="nil"/>
              <w:left w:val="single" w:sz="4" w:space="0" w:color="auto"/>
              <w:bottom w:val="single" w:sz="4" w:space="0" w:color="auto"/>
              <w:right w:val="single" w:sz="4" w:space="0" w:color="auto"/>
            </w:tcBorders>
            <w:vAlign w:val="bottom"/>
            <w:hideMark/>
          </w:tcPr>
          <w:p w:rsidR="000527A3" w:rsidRDefault="000527A3">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Viļaka</w:t>
            </w:r>
          </w:p>
        </w:tc>
        <w:tc>
          <w:tcPr>
            <w:tcW w:w="1840" w:type="dxa"/>
            <w:tcBorders>
              <w:top w:val="nil"/>
              <w:left w:val="nil"/>
              <w:bottom w:val="single" w:sz="4" w:space="0" w:color="auto"/>
              <w:right w:val="single" w:sz="4" w:space="0" w:color="auto"/>
            </w:tcBorders>
            <w:vAlign w:val="bottom"/>
            <w:hideMark/>
          </w:tcPr>
          <w:p w:rsidR="000527A3" w:rsidRDefault="000527A3">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54</w:t>
            </w:r>
          </w:p>
        </w:tc>
        <w:tc>
          <w:tcPr>
            <w:tcW w:w="1600" w:type="dxa"/>
            <w:tcBorders>
              <w:top w:val="nil"/>
              <w:left w:val="nil"/>
              <w:bottom w:val="single" w:sz="4" w:space="0" w:color="auto"/>
              <w:right w:val="single" w:sz="4" w:space="0" w:color="auto"/>
            </w:tcBorders>
            <w:vAlign w:val="bottom"/>
            <w:hideMark/>
          </w:tcPr>
          <w:p w:rsidR="000527A3" w:rsidRDefault="000527A3">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18</w:t>
            </w:r>
          </w:p>
        </w:tc>
      </w:tr>
      <w:tr w:rsidR="000527A3" w:rsidTr="000527A3">
        <w:trPr>
          <w:trHeight w:val="315"/>
          <w:jc w:val="center"/>
        </w:trPr>
        <w:tc>
          <w:tcPr>
            <w:tcW w:w="2140" w:type="dxa"/>
            <w:tcBorders>
              <w:top w:val="nil"/>
              <w:left w:val="single" w:sz="4" w:space="0" w:color="auto"/>
              <w:bottom w:val="single" w:sz="4" w:space="0" w:color="auto"/>
              <w:right w:val="single" w:sz="4" w:space="0" w:color="auto"/>
            </w:tcBorders>
            <w:vAlign w:val="bottom"/>
            <w:hideMark/>
          </w:tcPr>
          <w:p w:rsidR="000527A3" w:rsidRDefault="000527A3">
            <w:pPr>
              <w:spacing w:after="0" w:line="240" w:lineRule="auto"/>
              <w:jc w:val="right"/>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Kopā</w:t>
            </w:r>
          </w:p>
        </w:tc>
        <w:tc>
          <w:tcPr>
            <w:tcW w:w="1840" w:type="dxa"/>
            <w:tcBorders>
              <w:top w:val="nil"/>
              <w:left w:val="nil"/>
              <w:bottom w:val="single" w:sz="4" w:space="0" w:color="auto"/>
              <w:right w:val="single" w:sz="4" w:space="0" w:color="auto"/>
            </w:tcBorders>
            <w:vAlign w:val="bottom"/>
            <w:hideMark/>
          </w:tcPr>
          <w:p w:rsidR="000527A3" w:rsidRDefault="000527A3">
            <w:pPr>
              <w:spacing w:after="0" w:line="240" w:lineRule="auto"/>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302</w:t>
            </w:r>
          </w:p>
        </w:tc>
        <w:tc>
          <w:tcPr>
            <w:tcW w:w="1600" w:type="dxa"/>
            <w:tcBorders>
              <w:top w:val="nil"/>
              <w:left w:val="nil"/>
              <w:bottom w:val="single" w:sz="4" w:space="0" w:color="auto"/>
              <w:right w:val="single" w:sz="4" w:space="0" w:color="auto"/>
            </w:tcBorders>
            <w:vAlign w:val="bottom"/>
            <w:hideMark/>
          </w:tcPr>
          <w:p w:rsidR="000527A3" w:rsidRDefault="000527A3">
            <w:pPr>
              <w:spacing w:after="0" w:line="240" w:lineRule="auto"/>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39</w:t>
            </w:r>
          </w:p>
        </w:tc>
      </w:tr>
    </w:tbl>
    <w:p w:rsidR="000527A3" w:rsidRDefault="000527A3" w:rsidP="000527A3">
      <w:pPr>
        <w:spacing w:after="0" w:line="240" w:lineRule="auto"/>
        <w:ind w:firstLine="567"/>
        <w:jc w:val="right"/>
        <w:rPr>
          <w:rFonts w:ascii="Times New Roman" w:hAnsi="Times New Roman" w:cs="Times New Roman"/>
          <w:sz w:val="20"/>
          <w:szCs w:val="20"/>
        </w:rPr>
      </w:pPr>
      <w:r>
        <w:rPr>
          <w:rFonts w:ascii="Times New Roman" w:hAnsi="Times New Roman" w:cs="Times New Roman"/>
          <w:sz w:val="20"/>
          <w:szCs w:val="20"/>
        </w:rPr>
        <w:t>Avots: Lursoft</w:t>
      </w:r>
    </w:p>
    <w:p w:rsidR="000527A3" w:rsidRDefault="000527A3" w:rsidP="000527A3">
      <w:pPr>
        <w:spacing w:after="0" w:line="240" w:lineRule="auto"/>
        <w:ind w:firstLine="567"/>
        <w:jc w:val="right"/>
        <w:rPr>
          <w:rFonts w:ascii="Times New Roman" w:hAnsi="Times New Roman" w:cs="Times New Roman"/>
          <w:sz w:val="20"/>
          <w:szCs w:val="20"/>
        </w:rPr>
      </w:pPr>
    </w:p>
    <w:p w:rsidR="000527A3" w:rsidRDefault="000527A3" w:rsidP="000527A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Galvenā tautsaimniecības nozare Viļakas novadā ir lauksaimniecība. Visizplatītākā ir jauktā lauksaimniecība, saimniecības nodarbojas gan ar augkopību, gan lopkopību. Nākamā izplatītākā nozare ir mazumtirdzniecība, tad seko dažādi pakalpojumi un citas nozares.</w:t>
      </w:r>
    </w:p>
    <w:p w:rsidR="000527A3" w:rsidRDefault="000527A3" w:rsidP="000527A3">
      <w:pPr>
        <w:spacing w:after="0" w:line="240" w:lineRule="auto"/>
        <w:ind w:firstLine="567"/>
        <w:jc w:val="both"/>
        <w:rPr>
          <w:rFonts w:ascii="Times New Roman" w:hAnsi="Times New Roman" w:cs="Times New Roman"/>
          <w:color w:val="FF0000"/>
          <w:sz w:val="20"/>
          <w:szCs w:val="20"/>
        </w:rPr>
      </w:pPr>
    </w:p>
    <w:p w:rsidR="000527A3" w:rsidRDefault="000527A3" w:rsidP="000527A3">
      <w:pPr>
        <w:spacing w:after="0" w:line="240" w:lineRule="auto"/>
        <w:ind w:firstLine="567"/>
        <w:jc w:val="center"/>
        <w:rPr>
          <w:rFonts w:ascii="Times New Roman" w:hAnsi="Times New Roman" w:cs="Times New Roman"/>
          <w:b/>
          <w:color w:val="FF0000"/>
          <w:sz w:val="24"/>
          <w:szCs w:val="24"/>
        </w:rPr>
      </w:pPr>
      <w:r>
        <w:rPr>
          <w:noProof/>
          <w:lang w:eastAsia="lv-LV"/>
        </w:rPr>
        <w:lastRenderedPageBreak/>
        <w:drawing>
          <wp:inline distT="0" distB="0" distL="0" distR="0">
            <wp:extent cx="4581525" cy="3067050"/>
            <wp:effectExtent l="0" t="0" r="9525" b="0"/>
            <wp:docPr id="3" name="Diagramma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0527A3" w:rsidRDefault="000527A3" w:rsidP="000527A3">
      <w:pPr>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Uzņēmējdarbības tiesiskās formas Viļakas novadā 2019.gadā</w:t>
      </w:r>
    </w:p>
    <w:p w:rsidR="000527A3" w:rsidRDefault="000527A3" w:rsidP="000527A3">
      <w:pPr>
        <w:spacing w:after="0" w:line="240" w:lineRule="auto"/>
        <w:ind w:firstLine="567"/>
        <w:jc w:val="right"/>
        <w:rPr>
          <w:rFonts w:ascii="Times New Roman" w:hAnsi="Times New Roman" w:cs="Times New Roman"/>
          <w:sz w:val="20"/>
          <w:szCs w:val="20"/>
        </w:rPr>
      </w:pPr>
      <w:r>
        <w:rPr>
          <w:rFonts w:ascii="Times New Roman" w:hAnsi="Times New Roman" w:cs="Times New Roman"/>
          <w:sz w:val="20"/>
          <w:szCs w:val="20"/>
        </w:rPr>
        <w:t>Avots: Lursoft</w:t>
      </w:r>
    </w:p>
    <w:p w:rsidR="000527A3" w:rsidRDefault="000527A3" w:rsidP="000527A3">
      <w:pPr>
        <w:spacing w:after="0" w:line="240" w:lineRule="auto"/>
        <w:ind w:firstLine="567"/>
        <w:jc w:val="right"/>
        <w:rPr>
          <w:rFonts w:ascii="Times New Roman" w:hAnsi="Times New Roman" w:cs="Times New Roman"/>
          <w:b/>
          <w:sz w:val="20"/>
          <w:szCs w:val="20"/>
        </w:rPr>
      </w:pPr>
    </w:p>
    <w:p w:rsidR="000527A3" w:rsidRDefault="000527A3" w:rsidP="000527A3">
      <w:pPr>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BUDŽETS</w:t>
      </w:r>
    </w:p>
    <w:p w:rsidR="000527A3" w:rsidRDefault="000527A3" w:rsidP="000527A3">
      <w:pPr>
        <w:autoSpaceDE w:val="0"/>
        <w:autoSpaceDN w:val="0"/>
        <w:adjustRightInd w:val="0"/>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Pašvaldības darbības finansiālo pamatu veido budžets, kas ir svarīgākais instruments pašvaldības autonomo funkciju izpildes nodrošināšanai, ekonomisko un sociālo vajadzību sabalansēšanai, kā arī teritorijas ilgtermiņa attīstībai. </w:t>
      </w:r>
    </w:p>
    <w:p w:rsidR="000527A3" w:rsidRDefault="000527A3" w:rsidP="000527A3">
      <w:pPr>
        <w:autoSpaceDE w:val="0"/>
        <w:autoSpaceDN w:val="0"/>
        <w:adjustRightInd w:val="0"/>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Viļakas novada pašvaldības budžets 2020. gadam </w:t>
      </w:r>
      <w:r>
        <w:rPr>
          <w:rFonts w:ascii="Times New Roman" w:hAnsi="Times New Roman" w:cs="Times New Roman"/>
          <w:sz w:val="24"/>
          <w:szCs w:val="24"/>
        </w:rPr>
        <w:t>sastāv no pamatbudžeta un ziedojumu un dāvinājumu budžeta, ko veido attiecīgas ieņēmumu un izdevumu daļas. Pašvaldība ir ņēmusi vērā visu nozaru intereses un centusies sabalansēt pieejamos finanšu līdzekļus tā, lai nodrošinātu uzlabojumus sabiedrībai svarīgās jomās.</w:t>
      </w:r>
    </w:p>
    <w:p w:rsidR="000527A3" w:rsidRDefault="000527A3" w:rsidP="000527A3">
      <w:pPr>
        <w:spacing w:after="0" w:line="240" w:lineRule="auto"/>
        <w:ind w:firstLine="567"/>
        <w:jc w:val="both"/>
        <w:rPr>
          <w:rFonts w:ascii="Times New Roman" w:hAnsi="Times New Roman"/>
          <w:b/>
          <w:bCs/>
          <w:sz w:val="24"/>
          <w:szCs w:val="24"/>
          <w:highlight w:val="yellow"/>
        </w:rPr>
      </w:pPr>
      <w:r>
        <w:rPr>
          <w:rFonts w:ascii="Times New Roman" w:hAnsi="Times New Roman" w:cs="Times New Roman"/>
          <w:sz w:val="24"/>
          <w:szCs w:val="24"/>
        </w:rPr>
        <w:t xml:space="preserve">Viļakas novada pašvaldības budžets balstīts uz ilgtspējīgas attīstības stratēģiju līdz 2030.gadam, kurā atspoguļots pašvaldības ilgtermiņa redzējums, stratēģiskie mērķi un ilgtermiņa prioritātes un Viļakas novada attīstības programmu 2018. – 2024.gadam. Ir ņemtas vērā attīstības programmas stratēģisko mērķu prioritātes: </w:t>
      </w:r>
    </w:p>
    <w:p w:rsidR="000527A3" w:rsidRDefault="000527A3" w:rsidP="000527A3">
      <w:pPr>
        <w:spacing w:after="0" w:line="240" w:lineRule="auto"/>
        <w:jc w:val="both"/>
        <w:rPr>
          <w:rFonts w:ascii="Times New Roman" w:hAnsi="Times New Roman"/>
          <w:bCs/>
          <w:sz w:val="24"/>
          <w:szCs w:val="24"/>
        </w:rPr>
      </w:pPr>
      <w:r>
        <w:rPr>
          <w:rFonts w:ascii="Times New Roman" w:hAnsi="Times New Roman"/>
          <w:b/>
          <w:bCs/>
          <w:sz w:val="24"/>
          <w:szCs w:val="24"/>
        </w:rPr>
        <w:t xml:space="preserve">SM1 Efektīva pārvaldība un Cilvēkresursu attīstība </w:t>
      </w:r>
      <w:r>
        <w:rPr>
          <w:rFonts w:ascii="Times New Roman" w:hAnsi="Times New Roman"/>
          <w:bCs/>
          <w:sz w:val="24"/>
          <w:szCs w:val="24"/>
        </w:rPr>
        <w:t xml:space="preserve">– izglītībā, kultūrā, sportā, jauniešiem, veselības un sociālā aprūpe, sociālie pakalpojumi, </w:t>
      </w:r>
      <w:r>
        <w:rPr>
          <w:rFonts w:ascii="Times New Roman" w:hAnsi="Times New Roman"/>
          <w:sz w:val="24"/>
          <w:szCs w:val="24"/>
        </w:rPr>
        <w:t>sadarbības veidošana ar pašvaldībām, uzņēmējiem un sociālajiem partneriem</w:t>
      </w:r>
      <w:r>
        <w:rPr>
          <w:rFonts w:ascii="Times New Roman" w:hAnsi="Times New Roman"/>
          <w:bCs/>
          <w:sz w:val="24"/>
          <w:szCs w:val="24"/>
        </w:rPr>
        <w:t xml:space="preserve"> un efektīva pārvalde;</w:t>
      </w:r>
    </w:p>
    <w:p w:rsidR="000527A3" w:rsidRDefault="000527A3" w:rsidP="000527A3">
      <w:pPr>
        <w:pStyle w:val="Default"/>
        <w:jc w:val="both"/>
        <w:rPr>
          <w:rFonts w:ascii="Times New Roman" w:hAnsi="Times New Roman" w:cs="Times New Roman"/>
          <w:color w:val="auto"/>
          <w:lang w:val="lv-LV"/>
        </w:rPr>
      </w:pPr>
      <w:r>
        <w:rPr>
          <w:rFonts w:ascii="Times New Roman" w:hAnsi="Times New Roman" w:cs="Times New Roman"/>
          <w:b/>
          <w:bCs/>
          <w:color w:val="auto"/>
          <w:lang w:val="lv-LV"/>
        </w:rPr>
        <w:t>SM2 Novada savienojumi</w:t>
      </w:r>
      <w:r>
        <w:rPr>
          <w:rFonts w:ascii="Times New Roman" w:hAnsi="Times New Roman" w:cs="Times New Roman"/>
          <w:bCs/>
          <w:color w:val="auto"/>
          <w:lang w:val="lv-LV"/>
        </w:rPr>
        <w:t xml:space="preserve"> – komunālā saimniecība, </w:t>
      </w:r>
      <w:r>
        <w:rPr>
          <w:rFonts w:ascii="Times New Roman" w:hAnsi="Times New Roman" w:cs="Times New Roman"/>
          <w:color w:val="auto"/>
          <w:lang w:val="lv-LV"/>
        </w:rPr>
        <w:t>ceļu un publiskās infrastruktūras attīstība, teritorijas pievilcība paaugstināšana;</w:t>
      </w:r>
      <w:r>
        <w:rPr>
          <w:rFonts w:ascii="Times New Roman" w:hAnsi="Times New Roman" w:cs="Times New Roman"/>
          <w:bCs/>
          <w:color w:val="auto"/>
          <w:lang w:val="lv-LV"/>
        </w:rPr>
        <w:t xml:space="preserve"> </w:t>
      </w:r>
    </w:p>
    <w:p w:rsidR="000527A3" w:rsidRDefault="000527A3" w:rsidP="000527A3">
      <w:pPr>
        <w:spacing w:after="0" w:line="240" w:lineRule="auto"/>
        <w:jc w:val="both"/>
        <w:rPr>
          <w:rFonts w:ascii="Times New Roman" w:hAnsi="Times New Roman"/>
          <w:sz w:val="24"/>
          <w:szCs w:val="24"/>
        </w:rPr>
      </w:pPr>
      <w:r>
        <w:rPr>
          <w:rFonts w:ascii="Times New Roman" w:hAnsi="Times New Roman"/>
          <w:b/>
          <w:bCs/>
          <w:sz w:val="24"/>
          <w:szCs w:val="24"/>
        </w:rPr>
        <w:t xml:space="preserve">SM3 Rentabli uzņēmumi </w:t>
      </w:r>
      <w:r>
        <w:rPr>
          <w:rFonts w:ascii="Times New Roman" w:hAnsi="Times New Roman"/>
          <w:bCs/>
          <w:sz w:val="24"/>
          <w:szCs w:val="24"/>
        </w:rPr>
        <w:t xml:space="preserve">– tūrisma infrastruktūras, tūrisma produkta pakalpojuma papildināšana, </w:t>
      </w:r>
      <w:r>
        <w:rPr>
          <w:rFonts w:ascii="Times New Roman" w:hAnsi="Times New Roman"/>
          <w:sz w:val="24"/>
          <w:szCs w:val="24"/>
        </w:rPr>
        <w:t>uzņēmējdarbības un daudzveidīgas lauku teritoriju attīstības veicināšana.</w:t>
      </w:r>
    </w:p>
    <w:p w:rsidR="000527A3" w:rsidRDefault="000527A3" w:rsidP="000527A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Skaitliskā informācija par budžeta ieņēmumiem, izdevumiem un atbilstība budžeta klasifikācijai ir norādīta Viļakas novada domes saistošo noteikumu „</w:t>
      </w:r>
      <w:r>
        <w:rPr>
          <w:rFonts w:ascii="Times New Roman" w:hAnsi="Times New Roman" w:cs="Times New Roman"/>
          <w:b/>
          <w:sz w:val="24"/>
          <w:szCs w:val="24"/>
        </w:rPr>
        <w:t xml:space="preserve"> Par Viļakas novada pašvaldības 2020. gada budžetu</w:t>
      </w:r>
      <w:r>
        <w:rPr>
          <w:rFonts w:ascii="Times New Roman" w:hAnsi="Times New Roman" w:cs="Times New Roman"/>
          <w:sz w:val="24"/>
          <w:szCs w:val="24"/>
        </w:rPr>
        <w:t>” pielikumos.</w:t>
      </w:r>
    </w:p>
    <w:p w:rsidR="000527A3" w:rsidRDefault="000527A3" w:rsidP="000527A3">
      <w:pPr>
        <w:spacing w:after="120"/>
        <w:ind w:firstLine="567"/>
        <w:jc w:val="center"/>
        <w:rPr>
          <w:rFonts w:ascii="Times New Roman" w:hAnsi="Times New Roman" w:cs="Times New Roman"/>
          <w:b/>
          <w:sz w:val="24"/>
          <w:szCs w:val="24"/>
        </w:rPr>
      </w:pPr>
    </w:p>
    <w:p w:rsidR="000527A3" w:rsidRDefault="000527A3" w:rsidP="000527A3">
      <w:pPr>
        <w:spacing w:after="120"/>
        <w:ind w:firstLine="567"/>
        <w:jc w:val="center"/>
        <w:rPr>
          <w:rFonts w:ascii="Times New Roman" w:hAnsi="Times New Roman" w:cs="Times New Roman"/>
          <w:b/>
          <w:sz w:val="24"/>
          <w:szCs w:val="24"/>
        </w:rPr>
      </w:pPr>
      <w:r>
        <w:rPr>
          <w:rFonts w:ascii="Times New Roman" w:hAnsi="Times New Roman" w:cs="Times New Roman"/>
          <w:b/>
          <w:sz w:val="24"/>
          <w:szCs w:val="24"/>
        </w:rPr>
        <w:t>PAMATBUDŽETS</w:t>
      </w:r>
    </w:p>
    <w:p w:rsidR="000527A3" w:rsidRDefault="000527A3" w:rsidP="000527A3">
      <w:pPr>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Ieņēmumi</w:t>
      </w:r>
    </w:p>
    <w:p w:rsidR="000527A3" w:rsidRDefault="000527A3" w:rsidP="000527A3">
      <w:pPr>
        <w:spacing w:after="0" w:line="240" w:lineRule="auto"/>
        <w:ind w:firstLine="567"/>
        <w:jc w:val="both"/>
        <w:rPr>
          <w:rFonts w:ascii="Times New Roman" w:hAnsi="Times New Roman" w:cs="Times New Roman"/>
          <w:bCs/>
          <w:sz w:val="24"/>
          <w:szCs w:val="24"/>
        </w:rPr>
      </w:pPr>
      <w:r>
        <w:rPr>
          <w:rFonts w:ascii="Times New Roman" w:hAnsi="Times New Roman" w:cs="Times New Roman"/>
          <w:sz w:val="24"/>
          <w:szCs w:val="24"/>
        </w:rPr>
        <w:t>Budžeta ieņēmumi plānoti</w:t>
      </w:r>
      <w:r>
        <w:rPr>
          <w:rFonts w:ascii="Times New Roman" w:hAnsi="Times New Roman" w:cs="Times New Roman"/>
          <w:b/>
          <w:sz w:val="24"/>
          <w:szCs w:val="24"/>
        </w:rPr>
        <w:t xml:space="preserve"> EUR </w:t>
      </w:r>
      <w:r>
        <w:rPr>
          <w:rFonts w:ascii="Times New Roman" w:hAnsi="Times New Roman" w:cs="Times New Roman"/>
          <w:b/>
          <w:bCs/>
          <w:sz w:val="24"/>
          <w:szCs w:val="24"/>
          <w:lang w:eastAsia="lv-LV"/>
        </w:rPr>
        <w:t xml:space="preserve">6 805 510 </w:t>
      </w:r>
      <w:r>
        <w:rPr>
          <w:rFonts w:ascii="Times New Roman" w:hAnsi="Times New Roman" w:cs="Times New Roman"/>
          <w:bCs/>
          <w:sz w:val="24"/>
          <w:szCs w:val="24"/>
          <w:lang w:eastAsia="lv-LV"/>
        </w:rPr>
        <w:t>kopsummā</w:t>
      </w:r>
      <w:r>
        <w:rPr>
          <w:rFonts w:ascii="Times New Roman" w:hAnsi="Times New Roman" w:cs="Times New Roman"/>
          <w:bCs/>
          <w:sz w:val="24"/>
          <w:szCs w:val="24"/>
        </w:rPr>
        <w:t xml:space="preserve"> un tos veido </w:t>
      </w:r>
      <w:r>
        <w:rPr>
          <w:rFonts w:ascii="Times New Roman" w:hAnsi="Times New Roman" w:cs="Times New Roman"/>
          <w:sz w:val="24"/>
          <w:szCs w:val="24"/>
        </w:rPr>
        <w:t xml:space="preserve">nodokļu ieņēmumi,  </w:t>
      </w:r>
      <w:proofErr w:type="spellStart"/>
      <w:r>
        <w:rPr>
          <w:rFonts w:ascii="Times New Roman" w:hAnsi="Times New Roman" w:cs="Times New Roman"/>
          <w:sz w:val="24"/>
          <w:szCs w:val="24"/>
        </w:rPr>
        <w:t>nenodokļu</w:t>
      </w:r>
      <w:proofErr w:type="spellEnd"/>
      <w:r>
        <w:rPr>
          <w:rFonts w:ascii="Times New Roman" w:hAnsi="Times New Roman" w:cs="Times New Roman"/>
          <w:sz w:val="24"/>
          <w:szCs w:val="24"/>
        </w:rPr>
        <w:t xml:space="preserve"> ieņēmumi (no uzņēmējdarbības, nodevām, sodiem un sankcijām), pārējie </w:t>
      </w:r>
      <w:proofErr w:type="spellStart"/>
      <w:r>
        <w:rPr>
          <w:rFonts w:ascii="Times New Roman" w:hAnsi="Times New Roman" w:cs="Times New Roman"/>
          <w:sz w:val="24"/>
          <w:szCs w:val="24"/>
        </w:rPr>
        <w:t>nenodokļu</w:t>
      </w:r>
      <w:proofErr w:type="spellEnd"/>
      <w:r>
        <w:rPr>
          <w:rFonts w:ascii="Times New Roman" w:hAnsi="Times New Roman" w:cs="Times New Roman"/>
          <w:sz w:val="24"/>
          <w:szCs w:val="24"/>
        </w:rPr>
        <w:t xml:space="preserve"> ieņēmumi (no pašvaldības īpašuma iznomāšanas, </w:t>
      </w:r>
      <w:r>
        <w:rPr>
          <w:rFonts w:ascii="Times New Roman" w:hAnsi="Times New Roman" w:cs="Times New Roman"/>
          <w:sz w:val="24"/>
          <w:szCs w:val="24"/>
        </w:rPr>
        <w:lastRenderedPageBreak/>
        <w:t xml:space="preserve">pārdošanas un no nodokļu pamatparāda kapitalizācijas), ieņēmumi no iestāžu sniegtajiem maksas pakalpojumiem un citi pašu ieņēmumi, kā arī </w:t>
      </w:r>
      <w:proofErr w:type="spellStart"/>
      <w:r>
        <w:rPr>
          <w:rFonts w:ascii="Times New Roman" w:hAnsi="Times New Roman" w:cs="Times New Roman"/>
          <w:sz w:val="24"/>
          <w:szCs w:val="24"/>
        </w:rPr>
        <w:t>transferti</w:t>
      </w:r>
      <w:proofErr w:type="spellEnd"/>
      <w:r>
        <w:rPr>
          <w:rFonts w:ascii="Times New Roman" w:hAnsi="Times New Roman" w:cs="Times New Roman"/>
          <w:sz w:val="24"/>
          <w:szCs w:val="24"/>
        </w:rPr>
        <w:t xml:space="preserve"> (mērķdotācijas, kas tiek saņemtas no atsevišķām ministrijām un pašvaldībām un paredzētas galvenokārt pedagogu darba samaksai, kā arī ES fondu finansēto projektu īstenošanai un pašvaldību maksājumiem par izglītības pakalpojumiem). </w:t>
      </w:r>
    </w:p>
    <w:p w:rsidR="000527A3" w:rsidRDefault="000527A3" w:rsidP="000527A3">
      <w:pPr>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 xml:space="preserve">Pašvaldības pamatbudžeta kontu atlikums uz 2020.gada 1.janvāri - </w:t>
      </w:r>
      <w:r>
        <w:rPr>
          <w:rFonts w:ascii="Times New Roman" w:hAnsi="Times New Roman" w:cs="Times New Roman"/>
          <w:b/>
          <w:bCs/>
          <w:sz w:val="24"/>
          <w:szCs w:val="24"/>
        </w:rPr>
        <w:t>EUR 811 859</w:t>
      </w:r>
      <w:r>
        <w:rPr>
          <w:rFonts w:ascii="Times New Roman" w:hAnsi="Times New Roman" w:cs="Times New Roman"/>
          <w:bCs/>
          <w:sz w:val="24"/>
          <w:szCs w:val="24"/>
        </w:rPr>
        <w:t xml:space="preserve"> </w:t>
      </w:r>
    </w:p>
    <w:p w:rsidR="000527A3" w:rsidRDefault="000527A3" w:rsidP="000527A3">
      <w:pPr>
        <w:spacing w:after="0" w:line="240" w:lineRule="auto"/>
        <w:ind w:firstLine="567"/>
        <w:jc w:val="both"/>
        <w:rPr>
          <w:rFonts w:ascii="Times New Roman" w:hAnsi="Times New Roman" w:cs="Times New Roman"/>
          <w:bCs/>
          <w:sz w:val="24"/>
          <w:szCs w:val="24"/>
        </w:rPr>
      </w:pPr>
    </w:p>
    <w:p w:rsidR="000527A3" w:rsidRDefault="000527A3" w:rsidP="000527A3">
      <w:pPr>
        <w:spacing w:after="0" w:line="240" w:lineRule="auto"/>
        <w:ind w:firstLine="567"/>
        <w:jc w:val="center"/>
        <w:rPr>
          <w:rFonts w:ascii="Times New Roman" w:hAnsi="Times New Roman" w:cs="Times New Roman"/>
          <w:bCs/>
          <w:color w:val="FF0000"/>
          <w:sz w:val="24"/>
          <w:szCs w:val="24"/>
        </w:rPr>
      </w:pPr>
      <w:r>
        <w:rPr>
          <w:noProof/>
          <w:lang w:eastAsia="lv-LV"/>
        </w:rPr>
        <w:drawing>
          <wp:inline distT="0" distB="0" distL="0" distR="0">
            <wp:extent cx="5953125" cy="3124200"/>
            <wp:effectExtent l="0" t="0" r="9525" b="0"/>
            <wp:docPr id="6" name="Diagramma 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0527A3" w:rsidRDefault="000527A3" w:rsidP="000527A3">
      <w:pPr>
        <w:spacing w:after="120"/>
        <w:ind w:firstLine="567"/>
        <w:jc w:val="center"/>
        <w:rPr>
          <w:rFonts w:ascii="Times New Roman" w:hAnsi="Times New Roman" w:cs="Times New Roman"/>
          <w:b/>
          <w:bCs/>
          <w:sz w:val="24"/>
          <w:szCs w:val="24"/>
        </w:rPr>
      </w:pPr>
      <w:r>
        <w:rPr>
          <w:rFonts w:ascii="Times New Roman" w:hAnsi="Times New Roman" w:cs="Times New Roman"/>
          <w:b/>
          <w:bCs/>
          <w:sz w:val="24"/>
          <w:szCs w:val="24"/>
        </w:rPr>
        <w:t>Viļakas novada pašvaldības plānotā ieņēmumu struktūra 2020.gadā</w:t>
      </w:r>
    </w:p>
    <w:p w:rsidR="000527A3" w:rsidRDefault="000527A3" w:rsidP="000527A3">
      <w:pPr>
        <w:spacing w:after="0" w:line="240" w:lineRule="auto"/>
        <w:ind w:firstLine="567"/>
        <w:jc w:val="both"/>
        <w:rPr>
          <w:rFonts w:ascii="Times New Roman" w:hAnsi="Times New Roman" w:cs="Times New Roman"/>
          <w:sz w:val="24"/>
          <w:szCs w:val="24"/>
        </w:rPr>
      </w:pPr>
      <w:r>
        <w:rPr>
          <w:rFonts w:ascii="Times New Roman" w:hAnsi="Times New Roman" w:cs="Times New Roman"/>
          <w:bCs/>
          <w:sz w:val="24"/>
          <w:szCs w:val="24"/>
        </w:rPr>
        <w:t xml:space="preserve">Iedzīvotāju ienākuma nodokļa (IIN) prognoze ir EUR 1 731 534, kas ir </w:t>
      </w:r>
      <w:r>
        <w:rPr>
          <w:rFonts w:ascii="Times New Roman" w:hAnsi="Times New Roman" w:cs="Times New Roman"/>
          <w:sz w:val="24"/>
          <w:szCs w:val="24"/>
        </w:rPr>
        <w:t>par EUR 158160 jeb 8.372% mazāk nekā 2019. gadā tika plānots.  IIN no kopējiem ieņēmumiem sastāda 25.44%.</w:t>
      </w:r>
    </w:p>
    <w:p w:rsidR="000527A3" w:rsidRDefault="000527A3" w:rsidP="000527A3">
      <w:pPr>
        <w:autoSpaceDE w:val="0"/>
        <w:autoSpaceDN w:val="0"/>
        <w:adjustRightInd w:val="0"/>
        <w:spacing w:after="0" w:line="240" w:lineRule="auto"/>
        <w:ind w:firstLine="720"/>
        <w:jc w:val="both"/>
        <w:rPr>
          <w:rFonts w:ascii="Times New Roman" w:eastAsia="Calibri" w:hAnsi="Times New Roman" w:cs="Times New Roman"/>
          <w:sz w:val="24"/>
          <w:szCs w:val="24"/>
        </w:rPr>
      </w:pPr>
      <w:r>
        <w:rPr>
          <w:rFonts w:ascii="Times New Roman" w:hAnsi="Times New Roman" w:cs="Times New Roman"/>
          <w:bCs/>
          <w:sz w:val="24"/>
          <w:szCs w:val="24"/>
        </w:rPr>
        <w:t xml:space="preserve">Nekustamā īpašuma nodokļa (NĪN) prognoze - EUR 262 469, kas ir </w:t>
      </w:r>
      <w:r>
        <w:rPr>
          <w:rFonts w:ascii="Times New Roman" w:hAnsi="Times New Roman" w:cs="Times New Roman"/>
          <w:sz w:val="24"/>
          <w:szCs w:val="24"/>
        </w:rPr>
        <w:t xml:space="preserve">par EUR 5500 jeb 2.14 % vairāk nekā 2019. gada sākumā ieplānots. NĪN no kopējiem ieņēmumiem sastāda 3.86%.  </w:t>
      </w:r>
      <w:r>
        <w:rPr>
          <w:rFonts w:ascii="Times New Roman" w:eastAsia="Calibri" w:hAnsi="Times New Roman" w:cs="Times New Roman"/>
          <w:sz w:val="24"/>
          <w:szCs w:val="24"/>
        </w:rPr>
        <w:t xml:space="preserve">Nodokļa atvieglojumi vēl joprojām piemēroti trūcīgām ģimenēm, maznodrošinātām personām, </w:t>
      </w:r>
      <w:proofErr w:type="spellStart"/>
      <w:r>
        <w:rPr>
          <w:rFonts w:ascii="Times New Roman" w:eastAsia="Calibri" w:hAnsi="Times New Roman" w:cs="Times New Roman"/>
          <w:sz w:val="24"/>
          <w:szCs w:val="24"/>
        </w:rPr>
        <w:t>daudzbērnu</w:t>
      </w:r>
      <w:proofErr w:type="spellEnd"/>
      <w:r>
        <w:rPr>
          <w:rFonts w:ascii="Times New Roman" w:eastAsia="Calibri" w:hAnsi="Times New Roman" w:cs="Times New Roman"/>
          <w:sz w:val="24"/>
          <w:szCs w:val="24"/>
        </w:rPr>
        <w:t xml:space="preserve"> ģimenēm.</w:t>
      </w:r>
    </w:p>
    <w:p w:rsidR="000527A3" w:rsidRDefault="000527A3" w:rsidP="000527A3">
      <w:pPr>
        <w:autoSpaceDE w:val="0"/>
        <w:autoSpaceDN w:val="0"/>
        <w:adjustRightInd w:val="0"/>
        <w:spacing w:after="0" w:line="240" w:lineRule="auto"/>
        <w:ind w:firstLine="720"/>
        <w:jc w:val="both"/>
        <w:rPr>
          <w:rFonts w:ascii="Times New Roman" w:eastAsia="Calibri" w:hAnsi="Times New Roman" w:cs="Times New Roman"/>
          <w:color w:val="FF0000"/>
          <w:sz w:val="24"/>
          <w:szCs w:val="24"/>
        </w:rPr>
      </w:pPr>
      <w:r>
        <w:rPr>
          <w:rFonts w:ascii="Times New Roman" w:hAnsi="Times New Roman" w:cs="Times New Roman"/>
          <w:bCs/>
          <w:sz w:val="24"/>
          <w:szCs w:val="24"/>
        </w:rPr>
        <w:t xml:space="preserve">Valsts budžeta </w:t>
      </w:r>
      <w:proofErr w:type="spellStart"/>
      <w:r>
        <w:rPr>
          <w:rFonts w:ascii="Times New Roman" w:hAnsi="Times New Roman" w:cs="Times New Roman"/>
          <w:bCs/>
          <w:sz w:val="24"/>
          <w:szCs w:val="24"/>
        </w:rPr>
        <w:t>transferti</w:t>
      </w:r>
      <w:proofErr w:type="spellEnd"/>
      <w:r>
        <w:rPr>
          <w:rFonts w:ascii="Times New Roman" w:hAnsi="Times New Roman" w:cs="Times New Roman"/>
          <w:bCs/>
          <w:sz w:val="24"/>
          <w:szCs w:val="24"/>
        </w:rPr>
        <w:t xml:space="preserve"> tiek plānoti EUR 3 971 192, kas ir par EUR 85 854 jeb 2.12% mazāk nekā </w:t>
      </w:r>
      <w:r>
        <w:rPr>
          <w:rFonts w:ascii="Times New Roman" w:hAnsi="Times New Roman" w:cs="Times New Roman"/>
          <w:sz w:val="24"/>
          <w:szCs w:val="24"/>
        </w:rPr>
        <w:t>2019. gada sākumā tika ieplānots. Šie ieņēmumi no kopējiem ieņēmumiem sastāda 58.35%. Tajā skaitā v</w:t>
      </w:r>
      <w:r>
        <w:rPr>
          <w:rFonts w:ascii="Times New Roman" w:hAnsi="Times New Roman" w:cs="Times New Roman"/>
          <w:bCs/>
          <w:sz w:val="24"/>
          <w:szCs w:val="24"/>
        </w:rPr>
        <w:t>alsts mērķdotācija pedagogu un treneru darba samaksai un darba devēja valsts sociālās apdrošināšanas obligātajām iemaksām ir plānota EUR 690 634 apmērā.</w:t>
      </w:r>
      <w:r>
        <w:rPr>
          <w:rFonts w:ascii="Times New Roman" w:hAnsi="Times New Roman" w:cs="Times New Roman"/>
          <w:sz w:val="24"/>
          <w:szCs w:val="24"/>
        </w:rPr>
        <w:t xml:space="preserve"> </w:t>
      </w:r>
      <w:r>
        <w:rPr>
          <w:rFonts w:ascii="Times New Roman" w:hAnsi="Times New Roman" w:cs="Times New Roman"/>
          <w:bCs/>
          <w:sz w:val="24"/>
          <w:szCs w:val="24"/>
        </w:rPr>
        <w:t xml:space="preserve"> Mērķdotācija mācību grāmatu un līdzekļu iegādei  tiek plānota EUR 9 069 apmērā, mērķdotācija brīvpusdienu nodrošināšanai 1.-4.klases skolēniem - EUR 15 477 apmērā, </w:t>
      </w:r>
      <w:r>
        <w:rPr>
          <w:rFonts w:ascii="Times New Roman" w:eastAsia="Calibri" w:hAnsi="Times New Roman" w:cs="Times New Roman"/>
          <w:sz w:val="24"/>
          <w:szCs w:val="24"/>
        </w:rPr>
        <w:t>mērķdotācija asistenta pakalpojumu nodrošināšanai no  Labklājības ministrijas - EUR 19 509 apmērā, mērķdotācija feldšeru un veselības punktu uzturēšanai - EUR 16 697 apmērā, mērķdotācija tautas mākslas kolektīvu vadītāju darba samaksai - EUR 8 337 apmērā, pārējās dotācijas - EUR 132 816.</w:t>
      </w:r>
      <w:r>
        <w:rPr>
          <w:rFonts w:ascii="Times New Roman" w:eastAsia="Calibri" w:hAnsi="Times New Roman" w:cs="Times New Roman"/>
          <w:color w:val="FF0000"/>
          <w:sz w:val="24"/>
          <w:szCs w:val="24"/>
        </w:rPr>
        <w:t xml:space="preserve"> </w:t>
      </w:r>
      <w:r>
        <w:rPr>
          <w:rFonts w:ascii="Times New Roman" w:eastAsia="Calibri" w:hAnsi="Times New Roman" w:cs="Times New Roman"/>
          <w:sz w:val="24"/>
          <w:szCs w:val="24"/>
        </w:rPr>
        <w:t xml:space="preserve">Mērķdotācija pašvaldību autoceļu un ielu uzturēšanai – EUR 248 288. Pašvaldību no valsts budžeta iestādēm saņemtie </w:t>
      </w:r>
      <w:proofErr w:type="spellStart"/>
      <w:r>
        <w:rPr>
          <w:rFonts w:ascii="Times New Roman" w:eastAsia="Calibri" w:hAnsi="Times New Roman" w:cs="Times New Roman"/>
          <w:sz w:val="24"/>
          <w:szCs w:val="24"/>
        </w:rPr>
        <w:t>transferti</w:t>
      </w:r>
      <w:proofErr w:type="spellEnd"/>
      <w:r>
        <w:rPr>
          <w:rFonts w:ascii="Times New Roman" w:eastAsia="Calibri" w:hAnsi="Times New Roman" w:cs="Times New Roman"/>
          <w:sz w:val="24"/>
          <w:szCs w:val="24"/>
        </w:rPr>
        <w:t xml:space="preserve"> Eiropas Savienības politiku instrumentu un pārējās ārvalstu finanšu palīdzības līdzfinansētajiem projektiem –EUR  936 736.</w:t>
      </w:r>
    </w:p>
    <w:p w:rsidR="000527A3" w:rsidRDefault="000527A3" w:rsidP="000527A3">
      <w:pPr>
        <w:autoSpaceDE w:val="0"/>
        <w:autoSpaceDN w:val="0"/>
        <w:adjustRightInd w:val="0"/>
        <w:spacing w:after="0"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Pašvaldību budžetā saņemtā dotācija no pašvaldību izlīdzināšanas fonda 1 893 629 apmērā, kas ir par 19.45%  vairāk </w:t>
      </w:r>
      <w:r>
        <w:rPr>
          <w:rFonts w:ascii="Times New Roman" w:hAnsi="Times New Roman" w:cs="Times New Roman"/>
          <w:bCs/>
          <w:sz w:val="24"/>
          <w:szCs w:val="24"/>
        </w:rPr>
        <w:t xml:space="preserve">nekā </w:t>
      </w:r>
      <w:r>
        <w:rPr>
          <w:rFonts w:ascii="Times New Roman" w:hAnsi="Times New Roman" w:cs="Times New Roman"/>
          <w:sz w:val="24"/>
          <w:szCs w:val="24"/>
        </w:rPr>
        <w:t xml:space="preserve">2019.gada sākumā tika ieplānots.  </w:t>
      </w:r>
    </w:p>
    <w:p w:rsidR="000527A3" w:rsidRDefault="000527A3" w:rsidP="000527A3">
      <w:pPr>
        <w:autoSpaceDE w:val="0"/>
        <w:autoSpaceDN w:val="0"/>
        <w:adjustRightInd w:val="0"/>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Pašvaldību budžeta </w:t>
      </w:r>
      <w:proofErr w:type="spellStart"/>
      <w:r>
        <w:rPr>
          <w:rFonts w:ascii="Times New Roman" w:eastAsia="Calibri" w:hAnsi="Times New Roman" w:cs="Times New Roman"/>
          <w:sz w:val="24"/>
          <w:szCs w:val="24"/>
        </w:rPr>
        <w:t>transferti</w:t>
      </w:r>
      <w:proofErr w:type="spellEnd"/>
      <w:r>
        <w:rPr>
          <w:rFonts w:ascii="Times New Roman" w:eastAsia="Calibri" w:hAnsi="Times New Roman" w:cs="Times New Roman"/>
          <w:sz w:val="24"/>
          <w:szCs w:val="24"/>
        </w:rPr>
        <w:t xml:space="preserve"> tiek plānoti EUR 125 261 apmērā, kas ir par EUR 52 400 jeb 2.38% </w:t>
      </w:r>
      <w:r>
        <w:rPr>
          <w:rFonts w:ascii="Times New Roman" w:hAnsi="Times New Roman" w:cs="Times New Roman"/>
          <w:bCs/>
          <w:sz w:val="24"/>
          <w:szCs w:val="24"/>
        </w:rPr>
        <w:t xml:space="preserve">mazāk nekā </w:t>
      </w:r>
      <w:r>
        <w:rPr>
          <w:rFonts w:ascii="Times New Roman" w:hAnsi="Times New Roman" w:cs="Times New Roman"/>
          <w:sz w:val="24"/>
          <w:szCs w:val="24"/>
        </w:rPr>
        <w:t xml:space="preserve">2019. gada sākumā tika ieplānots.  Šie </w:t>
      </w:r>
      <w:proofErr w:type="spellStart"/>
      <w:r>
        <w:rPr>
          <w:rFonts w:ascii="Times New Roman" w:hAnsi="Times New Roman" w:cs="Times New Roman"/>
          <w:sz w:val="24"/>
          <w:szCs w:val="24"/>
        </w:rPr>
        <w:t>transferti</w:t>
      </w:r>
      <w:proofErr w:type="spellEnd"/>
      <w:r>
        <w:rPr>
          <w:rFonts w:ascii="Times New Roman" w:hAnsi="Times New Roman" w:cs="Times New Roman"/>
          <w:sz w:val="24"/>
          <w:szCs w:val="24"/>
        </w:rPr>
        <w:t xml:space="preserve"> no kopējiem ieņēmumiem sastāda 1.84%.</w:t>
      </w:r>
    </w:p>
    <w:p w:rsidR="000527A3" w:rsidRDefault="000527A3" w:rsidP="000527A3">
      <w:pPr>
        <w:spacing w:after="0" w:line="240" w:lineRule="auto"/>
        <w:ind w:firstLine="567"/>
        <w:jc w:val="both"/>
        <w:rPr>
          <w:rFonts w:ascii="Times New Roman" w:hAnsi="Times New Roman" w:cs="Times New Roman"/>
          <w:b/>
          <w:sz w:val="24"/>
          <w:szCs w:val="24"/>
        </w:rPr>
      </w:pPr>
      <w:r>
        <w:rPr>
          <w:rFonts w:ascii="Times New Roman" w:hAnsi="Times New Roman" w:cs="Times New Roman"/>
          <w:bCs/>
          <w:sz w:val="24"/>
          <w:szCs w:val="24"/>
        </w:rPr>
        <w:t>Pārējos ieņēmumus EUR 91 730 apmērā veido valsts un pašvaldības nodevas, naudas sodi un sankcijas, kā arī ieņēmumi no pašvaldības īpašuma pārdošanas.</w:t>
      </w:r>
    </w:p>
    <w:p w:rsidR="000527A3" w:rsidRDefault="000527A3" w:rsidP="000527A3">
      <w:pPr>
        <w:spacing w:after="0" w:line="240" w:lineRule="auto"/>
        <w:ind w:firstLine="567"/>
        <w:jc w:val="both"/>
        <w:rPr>
          <w:rFonts w:ascii="Times New Roman" w:hAnsi="Times New Roman" w:cs="Times New Roman"/>
          <w:bCs/>
          <w:color w:val="FF0000"/>
          <w:sz w:val="24"/>
          <w:szCs w:val="24"/>
        </w:rPr>
      </w:pPr>
      <w:r>
        <w:rPr>
          <w:rFonts w:ascii="Times New Roman" w:hAnsi="Times New Roman" w:cs="Times New Roman"/>
          <w:bCs/>
          <w:sz w:val="24"/>
          <w:szCs w:val="24"/>
        </w:rPr>
        <w:t xml:space="preserve">Budžeta iestāžu ieņēmumi par maksas pakalpojumiem un citiem pašu ieņēmumiem tiek plānoti EUR 623 324 apmērā, kas ir par EUR 106 670 jeb 20.65% vairāk nekā </w:t>
      </w:r>
      <w:r>
        <w:rPr>
          <w:rFonts w:ascii="Times New Roman" w:hAnsi="Times New Roman" w:cs="Times New Roman"/>
          <w:sz w:val="24"/>
          <w:szCs w:val="24"/>
        </w:rPr>
        <w:t>2019. gada sākumā tika ieplānots.</w:t>
      </w:r>
      <w:r>
        <w:t xml:space="preserve"> </w:t>
      </w:r>
      <w:r>
        <w:rPr>
          <w:rFonts w:ascii="Times New Roman" w:hAnsi="Times New Roman" w:cs="Times New Roman"/>
          <w:sz w:val="24"/>
          <w:szCs w:val="24"/>
        </w:rPr>
        <w:t xml:space="preserve">Iepriekš minētie ieņēmumi no kopējiem ieņēmumiem sastāda 9.16%. Šos ieņēmumus </w:t>
      </w:r>
      <w:r>
        <w:rPr>
          <w:rFonts w:ascii="Times New Roman" w:hAnsi="Times New Roman" w:cs="Times New Roman"/>
          <w:bCs/>
          <w:sz w:val="24"/>
          <w:szCs w:val="24"/>
        </w:rPr>
        <w:t xml:space="preserve">veido maksa par izglītības pakalpojumiem EUR 18 160, ieņēmumi par nomu un īri EUR 60 721, </w:t>
      </w:r>
      <w:proofErr w:type="spellStart"/>
      <w:r>
        <w:rPr>
          <w:rFonts w:ascii="Times New Roman" w:hAnsi="Times New Roman" w:cs="Times New Roman"/>
          <w:bCs/>
          <w:sz w:val="24"/>
          <w:szCs w:val="24"/>
        </w:rPr>
        <w:t>tsk</w:t>
      </w:r>
      <w:proofErr w:type="spellEnd"/>
      <w:r>
        <w:rPr>
          <w:rFonts w:ascii="Times New Roman" w:hAnsi="Times New Roman" w:cs="Times New Roman"/>
          <w:bCs/>
          <w:sz w:val="24"/>
          <w:szCs w:val="24"/>
        </w:rPr>
        <w:t>. ieņēmumi par zemes nomu EUR 19 969, ieņēmumi par pārējiem budžeta iestāžu sniegtajiem maksas pakalpojumiem EUR 501 710 un citi maksas pakalpojumi tiek plānoti EUR 29 958 apmērā.</w:t>
      </w:r>
    </w:p>
    <w:p w:rsidR="000527A3" w:rsidRDefault="000527A3" w:rsidP="000527A3">
      <w:pPr>
        <w:spacing w:after="120"/>
        <w:ind w:firstLine="567"/>
        <w:jc w:val="center"/>
        <w:rPr>
          <w:rFonts w:ascii="Times New Roman" w:hAnsi="Times New Roman" w:cs="Times New Roman"/>
          <w:b/>
          <w:sz w:val="24"/>
          <w:szCs w:val="24"/>
        </w:rPr>
      </w:pPr>
      <w:r>
        <w:rPr>
          <w:rFonts w:ascii="Times New Roman" w:hAnsi="Times New Roman" w:cs="Times New Roman"/>
          <w:b/>
          <w:bCs/>
          <w:sz w:val="24"/>
          <w:szCs w:val="24"/>
        </w:rPr>
        <w:t>Izdevumi</w:t>
      </w:r>
    </w:p>
    <w:p w:rsidR="000527A3" w:rsidRDefault="000527A3" w:rsidP="000527A3">
      <w:pPr>
        <w:spacing w:after="120"/>
        <w:ind w:firstLine="567"/>
        <w:jc w:val="both"/>
        <w:rPr>
          <w:rFonts w:ascii="Times New Roman" w:hAnsi="Times New Roman" w:cs="Times New Roman"/>
          <w:bCs/>
          <w:sz w:val="24"/>
          <w:szCs w:val="24"/>
        </w:rPr>
      </w:pPr>
      <w:r>
        <w:rPr>
          <w:rFonts w:ascii="Times New Roman" w:hAnsi="Times New Roman" w:cs="Times New Roman"/>
          <w:sz w:val="24"/>
          <w:szCs w:val="24"/>
        </w:rPr>
        <w:t>Budžeta izdevumi plānoti</w:t>
      </w:r>
      <w:r w:rsidR="00DB0AF5">
        <w:rPr>
          <w:rFonts w:ascii="Times New Roman" w:hAnsi="Times New Roman" w:cs="Times New Roman"/>
          <w:b/>
          <w:sz w:val="24"/>
          <w:szCs w:val="24"/>
        </w:rPr>
        <w:t xml:space="preserve"> EUR 8 522 321</w:t>
      </w:r>
      <w:r>
        <w:rPr>
          <w:rFonts w:ascii="Times New Roman" w:hAnsi="Times New Roman" w:cs="Times New Roman"/>
          <w:b/>
          <w:sz w:val="24"/>
          <w:szCs w:val="24"/>
        </w:rPr>
        <w:t xml:space="preserve"> </w:t>
      </w:r>
      <w:r>
        <w:rPr>
          <w:rFonts w:ascii="Times New Roman" w:hAnsi="Times New Roman" w:cs="Times New Roman"/>
          <w:sz w:val="24"/>
          <w:szCs w:val="24"/>
        </w:rPr>
        <w:t>apmērā</w:t>
      </w:r>
      <w:r>
        <w:rPr>
          <w:rFonts w:ascii="Times New Roman" w:hAnsi="Times New Roman" w:cs="Times New Roman"/>
          <w:b/>
          <w:bCs/>
          <w:sz w:val="24"/>
          <w:szCs w:val="24"/>
        </w:rPr>
        <w:t xml:space="preserve"> </w:t>
      </w:r>
      <w:r>
        <w:rPr>
          <w:rFonts w:ascii="Times New Roman" w:hAnsi="Times New Roman" w:cs="Times New Roman"/>
          <w:sz w:val="24"/>
          <w:szCs w:val="24"/>
        </w:rPr>
        <w:t>(neieskaitot Valsts kases aizņēmumu pamatsummas atmaksas)</w:t>
      </w:r>
      <w:r>
        <w:rPr>
          <w:rFonts w:ascii="Times New Roman" w:hAnsi="Times New Roman" w:cs="Times New Roman"/>
          <w:bCs/>
          <w:sz w:val="24"/>
          <w:szCs w:val="24"/>
        </w:rPr>
        <w:t>.</w:t>
      </w:r>
    </w:p>
    <w:p w:rsidR="000527A3" w:rsidRDefault="000527A3" w:rsidP="000527A3">
      <w:pPr>
        <w:spacing w:after="120"/>
        <w:ind w:firstLine="567"/>
        <w:jc w:val="center"/>
        <w:rPr>
          <w:rFonts w:ascii="Times New Roman" w:hAnsi="Times New Roman" w:cs="Times New Roman"/>
          <w:bCs/>
          <w:color w:val="FF0000"/>
          <w:sz w:val="24"/>
          <w:szCs w:val="24"/>
        </w:rPr>
      </w:pPr>
      <w:r>
        <w:rPr>
          <w:noProof/>
          <w:lang w:eastAsia="lv-LV"/>
        </w:rPr>
        <w:drawing>
          <wp:inline distT="0" distB="0" distL="0" distR="0">
            <wp:extent cx="5953125" cy="3248025"/>
            <wp:effectExtent l="0" t="0" r="9525" b="9525"/>
            <wp:docPr id="1" name="Diagramma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0527A3" w:rsidRDefault="000527A3" w:rsidP="000527A3">
      <w:pPr>
        <w:spacing w:after="120"/>
        <w:ind w:firstLine="567"/>
        <w:jc w:val="center"/>
        <w:rPr>
          <w:rFonts w:ascii="Times New Roman" w:hAnsi="Times New Roman" w:cs="Times New Roman"/>
          <w:b/>
          <w:bCs/>
          <w:sz w:val="24"/>
          <w:szCs w:val="24"/>
        </w:rPr>
      </w:pPr>
      <w:r>
        <w:rPr>
          <w:rFonts w:ascii="Times New Roman" w:hAnsi="Times New Roman" w:cs="Times New Roman"/>
          <w:b/>
          <w:bCs/>
          <w:sz w:val="24"/>
          <w:szCs w:val="24"/>
        </w:rPr>
        <w:t>Viļakas novada pašvaldības plānotā izdevumu struktūra 2020.gadā</w:t>
      </w:r>
    </w:p>
    <w:p w:rsidR="000527A3" w:rsidRDefault="000527A3" w:rsidP="000527A3">
      <w:pPr>
        <w:spacing w:after="0" w:line="240" w:lineRule="auto"/>
        <w:ind w:firstLine="567"/>
        <w:jc w:val="both"/>
        <w:rPr>
          <w:rFonts w:ascii="Times New Roman" w:hAnsi="Times New Roman" w:cs="Times New Roman"/>
          <w:b/>
          <w:bCs/>
          <w:sz w:val="24"/>
          <w:szCs w:val="24"/>
        </w:rPr>
      </w:pPr>
    </w:p>
    <w:p w:rsidR="000527A3" w:rsidRDefault="000527A3" w:rsidP="000527A3">
      <w:pPr>
        <w:spacing w:after="0" w:line="240" w:lineRule="auto"/>
        <w:ind w:firstLine="567"/>
        <w:jc w:val="both"/>
        <w:rPr>
          <w:rFonts w:ascii="Times New Roman" w:hAnsi="Times New Roman" w:cs="Times New Roman"/>
          <w:b/>
          <w:bCs/>
          <w:sz w:val="24"/>
          <w:szCs w:val="24"/>
        </w:rPr>
      </w:pPr>
      <w:r>
        <w:rPr>
          <w:rFonts w:ascii="Times New Roman" w:hAnsi="Times New Roman" w:cs="Times New Roman"/>
          <w:b/>
          <w:bCs/>
          <w:sz w:val="24"/>
          <w:szCs w:val="24"/>
        </w:rPr>
        <w:t>Vispārējie valdības dienesti</w:t>
      </w:r>
    </w:p>
    <w:p w:rsidR="000527A3" w:rsidRDefault="000527A3" w:rsidP="000527A3">
      <w:pPr>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 xml:space="preserve">Izdevumi plānoti EUR 825 050 apmērā. </w:t>
      </w:r>
      <w:r>
        <w:rPr>
          <w:rFonts w:ascii="Times New Roman" w:hAnsi="Times New Roman" w:cs="Times New Roman"/>
          <w:sz w:val="24"/>
          <w:szCs w:val="24"/>
        </w:rPr>
        <w:t xml:space="preserve">Šis izdevumu veids no kopējiem izdevumiem sastāda 9.68%. 2018.gadā šie izdevumi sastādīja 10.11%. </w:t>
      </w:r>
      <w:r>
        <w:rPr>
          <w:rFonts w:ascii="Times New Roman" w:hAnsi="Times New Roman" w:cs="Times New Roman"/>
          <w:bCs/>
          <w:sz w:val="24"/>
          <w:szCs w:val="24"/>
        </w:rPr>
        <w:t xml:space="preserve"> Šie izdevumi paredzēti pašvaldības darbības nodrošināšanai, finanšu vadībai un klientu apkalpošanai, kā arī pašvaldību vēlēšanu nodrošināšanai t.sk.:</w:t>
      </w:r>
    </w:p>
    <w:p w:rsidR="000527A3" w:rsidRDefault="000527A3" w:rsidP="000527A3">
      <w:pPr>
        <w:numPr>
          <w:ilvl w:val="0"/>
          <w:numId w:val="1"/>
        </w:numPr>
        <w:spacing w:after="0" w:line="240" w:lineRule="auto"/>
        <w:ind w:left="357" w:firstLine="567"/>
        <w:jc w:val="both"/>
        <w:rPr>
          <w:rFonts w:ascii="Times New Roman" w:hAnsi="Times New Roman" w:cs="Times New Roman"/>
          <w:bCs/>
          <w:sz w:val="24"/>
          <w:szCs w:val="24"/>
        </w:rPr>
      </w:pPr>
      <w:r>
        <w:rPr>
          <w:rFonts w:ascii="Times New Roman" w:hAnsi="Times New Roman" w:cs="Times New Roman"/>
          <w:bCs/>
          <w:sz w:val="24"/>
          <w:szCs w:val="24"/>
        </w:rPr>
        <w:t>domei un pārvaldēm EUR 799 128;</w:t>
      </w:r>
    </w:p>
    <w:p w:rsidR="000527A3" w:rsidRDefault="000527A3" w:rsidP="000527A3">
      <w:pPr>
        <w:numPr>
          <w:ilvl w:val="0"/>
          <w:numId w:val="1"/>
        </w:numPr>
        <w:spacing w:after="0" w:line="240" w:lineRule="auto"/>
        <w:ind w:left="357" w:firstLine="567"/>
        <w:jc w:val="both"/>
        <w:rPr>
          <w:rFonts w:ascii="Times New Roman" w:hAnsi="Times New Roman" w:cs="Times New Roman"/>
          <w:bCs/>
          <w:sz w:val="24"/>
          <w:szCs w:val="24"/>
        </w:rPr>
      </w:pPr>
      <w:r>
        <w:rPr>
          <w:rFonts w:ascii="Times New Roman" w:hAnsi="Times New Roman" w:cs="Times New Roman"/>
          <w:bCs/>
          <w:sz w:val="24"/>
          <w:szCs w:val="24"/>
        </w:rPr>
        <w:t>aizņēmumu apkalpošanai un procentu maksājumiem Valsts kasei EUR 14 800 ;</w:t>
      </w:r>
    </w:p>
    <w:p w:rsidR="000527A3" w:rsidRDefault="000527A3" w:rsidP="000527A3">
      <w:pPr>
        <w:numPr>
          <w:ilvl w:val="0"/>
          <w:numId w:val="1"/>
        </w:numPr>
        <w:spacing w:after="0" w:line="240" w:lineRule="auto"/>
        <w:ind w:left="357" w:firstLine="567"/>
        <w:jc w:val="both"/>
        <w:rPr>
          <w:rFonts w:ascii="Times New Roman" w:hAnsi="Times New Roman" w:cs="Times New Roman"/>
          <w:bCs/>
          <w:sz w:val="24"/>
          <w:szCs w:val="24"/>
        </w:rPr>
      </w:pPr>
      <w:r>
        <w:rPr>
          <w:rFonts w:ascii="Times New Roman" w:hAnsi="Times New Roman" w:cs="Times New Roman"/>
          <w:bCs/>
          <w:sz w:val="24"/>
          <w:szCs w:val="24"/>
        </w:rPr>
        <w:t>komisiju darba atalgojumam EUR 7850;</w:t>
      </w:r>
    </w:p>
    <w:p w:rsidR="000527A3" w:rsidRDefault="000527A3" w:rsidP="000527A3">
      <w:pPr>
        <w:numPr>
          <w:ilvl w:val="0"/>
          <w:numId w:val="1"/>
        </w:numPr>
        <w:spacing w:after="0" w:line="240" w:lineRule="auto"/>
        <w:ind w:left="357" w:firstLine="567"/>
        <w:jc w:val="both"/>
        <w:rPr>
          <w:rFonts w:ascii="Times New Roman" w:hAnsi="Times New Roman" w:cs="Times New Roman"/>
          <w:bCs/>
          <w:sz w:val="24"/>
          <w:szCs w:val="24"/>
        </w:rPr>
      </w:pPr>
      <w:r>
        <w:rPr>
          <w:rFonts w:ascii="Times New Roman" w:hAnsi="Times New Roman" w:cs="Times New Roman"/>
          <w:bCs/>
          <w:sz w:val="24"/>
          <w:szCs w:val="24"/>
        </w:rPr>
        <w:t>pabalstiem, kurus izmaksā pašvaldību bijušajiem priekšsēdētājiem un to vietniekiem EUR 73 644.</w:t>
      </w:r>
    </w:p>
    <w:p w:rsidR="000527A3" w:rsidRDefault="000527A3" w:rsidP="000527A3">
      <w:pPr>
        <w:numPr>
          <w:ilvl w:val="0"/>
          <w:numId w:val="1"/>
        </w:numPr>
        <w:spacing w:after="0" w:line="240" w:lineRule="auto"/>
        <w:ind w:left="357" w:firstLine="567"/>
        <w:jc w:val="both"/>
        <w:rPr>
          <w:rFonts w:ascii="Times New Roman" w:hAnsi="Times New Roman" w:cs="Times New Roman"/>
          <w:bCs/>
          <w:sz w:val="24"/>
          <w:szCs w:val="24"/>
        </w:rPr>
      </w:pPr>
      <w:r>
        <w:rPr>
          <w:rFonts w:ascii="Times New Roman" w:hAnsi="Times New Roman" w:cs="Times New Roman"/>
          <w:bCs/>
          <w:sz w:val="24"/>
          <w:szCs w:val="24"/>
        </w:rPr>
        <w:lastRenderedPageBreak/>
        <w:t>Vēlēšanu komisijai EUR 3272.</w:t>
      </w:r>
    </w:p>
    <w:p w:rsidR="000527A3" w:rsidRDefault="000527A3" w:rsidP="000527A3">
      <w:pPr>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Izvērtējot budžeta iespējas un lai pašvaldības darbinieku algas būtu konkurēt spējīgas, tās tika paaugstinātas vidēji par 10%.</w:t>
      </w:r>
    </w:p>
    <w:p w:rsidR="000527A3" w:rsidRDefault="000527A3" w:rsidP="000527A3">
      <w:pPr>
        <w:spacing w:after="0" w:line="240" w:lineRule="auto"/>
        <w:ind w:firstLine="567"/>
        <w:jc w:val="both"/>
        <w:rPr>
          <w:rFonts w:ascii="Times New Roman" w:hAnsi="Times New Roman" w:cs="Times New Roman"/>
          <w:b/>
          <w:bCs/>
          <w:sz w:val="24"/>
          <w:szCs w:val="24"/>
        </w:rPr>
      </w:pPr>
      <w:r>
        <w:rPr>
          <w:rFonts w:ascii="Times New Roman" w:hAnsi="Times New Roman" w:cs="Times New Roman"/>
          <w:b/>
          <w:bCs/>
          <w:sz w:val="24"/>
          <w:szCs w:val="24"/>
        </w:rPr>
        <w:t>Sabiedriskās attiecības</w:t>
      </w:r>
    </w:p>
    <w:p w:rsidR="000527A3" w:rsidRDefault="000527A3" w:rsidP="000527A3">
      <w:pPr>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Sabiedrisko attiecību veidošanai, iedzīvotāju informēšanai,  interneta mājaslapas, laikraksta, kā arī domes reprezentatīvajie</w:t>
      </w:r>
      <w:r w:rsidR="00DB0AF5">
        <w:rPr>
          <w:rFonts w:ascii="Times New Roman" w:hAnsi="Times New Roman" w:cs="Times New Roman"/>
          <w:bCs/>
          <w:sz w:val="24"/>
          <w:szCs w:val="24"/>
        </w:rPr>
        <w:t>m izdevumiem plānoti  EUR 23 065</w:t>
      </w:r>
      <w:r>
        <w:rPr>
          <w:rFonts w:ascii="Times New Roman" w:hAnsi="Times New Roman" w:cs="Times New Roman"/>
          <w:bCs/>
          <w:sz w:val="24"/>
          <w:szCs w:val="24"/>
        </w:rPr>
        <w:t>.</w:t>
      </w:r>
    </w:p>
    <w:p w:rsidR="000527A3" w:rsidRDefault="000527A3" w:rsidP="000527A3">
      <w:pPr>
        <w:spacing w:after="0" w:line="240" w:lineRule="auto"/>
        <w:ind w:firstLine="567"/>
        <w:jc w:val="both"/>
        <w:rPr>
          <w:rFonts w:ascii="Times New Roman" w:hAnsi="Times New Roman" w:cs="Times New Roman"/>
          <w:b/>
          <w:bCs/>
          <w:sz w:val="24"/>
          <w:szCs w:val="24"/>
        </w:rPr>
      </w:pPr>
      <w:r>
        <w:rPr>
          <w:rFonts w:ascii="Times New Roman" w:hAnsi="Times New Roman" w:cs="Times New Roman"/>
          <w:b/>
          <w:bCs/>
          <w:sz w:val="24"/>
          <w:szCs w:val="24"/>
        </w:rPr>
        <w:t>Sabiedriskā kārtība un drošība</w:t>
      </w:r>
    </w:p>
    <w:p w:rsidR="000527A3" w:rsidRDefault="000527A3" w:rsidP="000527A3">
      <w:pPr>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Lai sekmētu un pilnveidotu sabiedrisko kārtību un drošību Viļakas novada dome ir nodibinājusi pašvaldības policiju. Šai aktivitātei budžetā atvēlēti EUR 23 065, kas ir par EUR 4859 mazāk nekā 2019.gada sākumā tika ieplānots.</w:t>
      </w:r>
    </w:p>
    <w:p w:rsidR="000527A3" w:rsidRDefault="000527A3" w:rsidP="000527A3">
      <w:pPr>
        <w:spacing w:after="0" w:line="240" w:lineRule="auto"/>
        <w:ind w:firstLine="567"/>
        <w:jc w:val="both"/>
        <w:rPr>
          <w:rFonts w:ascii="Times New Roman" w:hAnsi="Times New Roman" w:cs="Times New Roman"/>
          <w:b/>
          <w:bCs/>
          <w:sz w:val="24"/>
          <w:szCs w:val="24"/>
        </w:rPr>
      </w:pPr>
      <w:r>
        <w:rPr>
          <w:rFonts w:ascii="Times New Roman" w:hAnsi="Times New Roman" w:cs="Times New Roman"/>
          <w:b/>
          <w:bCs/>
          <w:sz w:val="24"/>
          <w:szCs w:val="24"/>
        </w:rPr>
        <w:t>Ekonomiskā darbība</w:t>
      </w:r>
    </w:p>
    <w:p w:rsidR="000527A3" w:rsidRDefault="000527A3" w:rsidP="000527A3">
      <w:pPr>
        <w:spacing w:after="0" w:line="240" w:lineRule="auto"/>
        <w:ind w:firstLine="567"/>
        <w:jc w:val="both"/>
        <w:rPr>
          <w:rFonts w:ascii="Times New Roman" w:hAnsi="Times New Roman" w:cs="Times New Roman"/>
          <w:bCs/>
          <w:sz w:val="24"/>
          <w:szCs w:val="24"/>
        </w:rPr>
      </w:pPr>
      <w:r>
        <w:rPr>
          <w:rFonts w:ascii="Times New Roman" w:hAnsi="Times New Roman" w:cs="Times New Roman"/>
          <w:bCs/>
          <w:sz w:val="24"/>
          <w:szCs w:val="24"/>
        </w:rPr>
        <w:t>Izd</w:t>
      </w:r>
      <w:r w:rsidR="00DB0AF5">
        <w:rPr>
          <w:rFonts w:ascii="Times New Roman" w:hAnsi="Times New Roman" w:cs="Times New Roman"/>
          <w:bCs/>
          <w:sz w:val="24"/>
          <w:szCs w:val="24"/>
        </w:rPr>
        <w:t>evumi tiek plānoti EUR 2 094 209</w:t>
      </w:r>
      <w:r>
        <w:rPr>
          <w:rFonts w:ascii="Times New Roman" w:hAnsi="Times New Roman" w:cs="Times New Roman"/>
          <w:b/>
          <w:bCs/>
          <w:sz w:val="24"/>
          <w:szCs w:val="24"/>
        </w:rPr>
        <w:t xml:space="preserve"> </w:t>
      </w:r>
      <w:r>
        <w:rPr>
          <w:rFonts w:ascii="Times New Roman" w:hAnsi="Times New Roman" w:cs="Times New Roman"/>
          <w:bCs/>
          <w:sz w:val="24"/>
          <w:szCs w:val="24"/>
        </w:rPr>
        <w:t xml:space="preserve">apmērā, kas par EUR 441 650 jeb 26.76% vairāk nekā </w:t>
      </w:r>
      <w:r>
        <w:rPr>
          <w:rFonts w:ascii="Times New Roman" w:hAnsi="Times New Roman" w:cs="Times New Roman"/>
          <w:sz w:val="24"/>
          <w:szCs w:val="24"/>
        </w:rPr>
        <w:t>2019. gada sākumā tika ieplānots</w:t>
      </w:r>
      <w:r>
        <w:rPr>
          <w:rFonts w:ascii="Times New Roman" w:hAnsi="Times New Roman" w:cs="Times New Roman"/>
          <w:bCs/>
          <w:sz w:val="24"/>
          <w:szCs w:val="24"/>
        </w:rPr>
        <w:t>. Šos izdevumus veido:</w:t>
      </w:r>
    </w:p>
    <w:p w:rsidR="000527A3" w:rsidRDefault="000527A3" w:rsidP="000527A3">
      <w:pPr>
        <w:pStyle w:val="Sarakstarindkopa"/>
        <w:numPr>
          <w:ilvl w:val="0"/>
          <w:numId w:val="2"/>
        </w:numPr>
        <w:spacing w:after="0" w:line="240" w:lineRule="auto"/>
        <w:ind w:left="1349" w:hanging="357"/>
        <w:jc w:val="both"/>
        <w:rPr>
          <w:rFonts w:ascii="Times New Roman" w:hAnsi="Times New Roman" w:cs="Times New Roman"/>
          <w:b/>
          <w:bCs/>
          <w:sz w:val="24"/>
          <w:szCs w:val="24"/>
        </w:rPr>
      </w:pPr>
      <w:r>
        <w:rPr>
          <w:rFonts w:ascii="Times New Roman" w:hAnsi="Times New Roman" w:cs="Times New Roman"/>
          <w:bCs/>
          <w:sz w:val="24"/>
          <w:szCs w:val="24"/>
        </w:rPr>
        <w:t>Viļakas novada valsts un pašvaldības vienotā klientu apkalpošanas centram - EUR 16 188</w:t>
      </w:r>
      <w:r>
        <w:rPr>
          <w:rFonts w:ascii="Times New Roman" w:hAnsi="Times New Roman" w:cs="Times New Roman"/>
          <w:b/>
          <w:bCs/>
          <w:sz w:val="24"/>
          <w:szCs w:val="24"/>
        </w:rPr>
        <w:t>;</w:t>
      </w:r>
    </w:p>
    <w:p w:rsidR="000527A3" w:rsidRDefault="000527A3" w:rsidP="000527A3">
      <w:pPr>
        <w:pStyle w:val="Sarakstarindkopa"/>
        <w:numPr>
          <w:ilvl w:val="0"/>
          <w:numId w:val="2"/>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Topošo un jauno uzņēmēju projektu konkursam - EUR 16 000;</w:t>
      </w:r>
    </w:p>
    <w:p w:rsidR="000527A3" w:rsidRDefault="000527A3" w:rsidP="000527A3">
      <w:pPr>
        <w:pStyle w:val="Sarakstarindkopa"/>
        <w:numPr>
          <w:ilvl w:val="0"/>
          <w:numId w:val="2"/>
        </w:numPr>
        <w:spacing w:after="0" w:line="240" w:lineRule="auto"/>
        <w:ind w:left="1349" w:hanging="357"/>
        <w:jc w:val="both"/>
        <w:rPr>
          <w:rFonts w:ascii="Times New Roman" w:hAnsi="Times New Roman" w:cs="Times New Roman"/>
          <w:bCs/>
          <w:sz w:val="24"/>
          <w:szCs w:val="24"/>
        </w:rPr>
      </w:pPr>
      <w:r>
        <w:rPr>
          <w:rFonts w:ascii="Times New Roman" w:hAnsi="Times New Roman" w:cs="Times New Roman"/>
          <w:bCs/>
          <w:sz w:val="24"/>
          <w:szCs w:val="24"/>
        </w:rPr>
        <w:t xml:space="preserve">Būvvaldes uzturēšanai - EUR 25 922; </w:t>
      </w:r>
    </w:p>
    <w:p w:rsidR="000527A3" w:rsidRDefault="000527A3" w:rsidP="000527A3">
      <w:pPr>
        <w:pStyle w:val="Sarakstarindkopa"/>
        <w:numPr>
          <w:ilvl w:val="0"/>
          <w:numId w:val="2"/>
        </w:numPr>
        <w:spacing w:after="0" w:line="240" w:lineRule="auto"/>
        <w:ind w:left="1349" w:hanging="357"/>
        <w:jc w:val="both"/>
        <w:rPr>
          <w:rFonts w:ascii="Times New Roman" w:hAnsi="Times New Roman" w:cs="Times New Roman"/>
          <w:bCs/>
          <w:sz w:val="24"/>
          <w:szCs w:val="24"/>
        </w:rPr>
      </w:pPr>
      <w:r>
        <w:rPr>
          <w:rFonts w:ascii="Times New Roman" w:hAnsi="Times New Roman" w:cs="Times New Roman"/>
          <w:bCs/>
          <w:sz w:val="24"/>
          <w:szCs w:val="24"/>
        </w:rPr>
        <w:t>Algotiem pagaidu sabiedriskajiem darbiem - EUR 72 923</w:t>
      </w:r>
      <w:r>
        <w:rPr>
          <w:rFonts w:ascii="Times New Roman" w:hAnsi="Times New Roman" w:cs="Times New Roman"/>
          <w:b/>
          <w:bCs/>
          <w:sz w:val="24"/>
          <w:szCs w:val="24"/>
        </w:rPr>
        <w:t>;</w:t>
      </w:r>
    </w:p>
    <w:p w:rsidR="000527A3" w:rsidRDefault="000527A3" w:rsidP="000527A3">
      <w:pPr>
        <w:pStyle w:val="Sarakstarindkopa"/>
        <w:numPr>
          <w:ilvl w:val="0"/>
          <w:numId w:val="2"/>
        </w:numPr>
        <w:spacing w:after="0" w:line="240" w:lineRule="auto"/>
        <w:ind w:left="1349" w:hanging="357"/>
        <w:jc w:val="both"/>
        <w:rPr>
          <w:rFonts w:ascii="Times New Roman" w:hAnsi="Times New Roman" w:cs="Times New Roman"/>
          <w:bCs/>
          <w:sz w:val="24"/>
          <w:szCs w:val="24"/>
        </w:rPr>
      </w:pPr>
      <w:r>
        <w:rPr>
          <w:rFonts w:ascii="Times New Roman" w:hAnsi="Times New Roman" w:cs="Times New Roman"/>
          <w:bCs/>
          <w:sz w:val="24"/>
          <w:szCs w:val="24"/>
        </w:rPr>
        <w:t>Viļakas novada ielu un ceļu rekonstrukcijai - EUR 36 121, tiks īstenots LAD, ELFLA projekts "Grants seguma ceļa "Upīte-</w:t>
      </w:r>
      <w:proofErr w:type="spellStart"/>
      <w:r>
        <w:rPr>
          <w:rFonts w:ascii="Times New Roman" w:hAnsi="Times New Roman" w:cs="Times New Roman"/>
          <w:bCs/>
          <w:sz w:val="24"/>
          <w:szCs w:val="24"/>
        </w:rPr>
        <w:t>Nikolajevka</w:t>
      </w:r>
      <w:proofErr w:type="spellEnd"/>
      <w:r>
        <w:rPr>
          <w:rFonts w:ascii="Times New Roman" w:hAnsi="Times New Roman" w:cs="Times New Roman"/>
          <w:bCs/>
          <w:sz w:val="24"/>
          <w:szCs w:val="24"/>
        </w:rPr>
        <w:t>" pārbūve Viļakas novada Šķilbēnu pagastā;</w:t>
      </w:r>
    </w:p>
    <w:p w:rsidR="000527A3" w:rsidRDefault="000527A3" w:rsidP="000527A3">
      <w:pPr>
        <w:pStyle w:val="Sarakstarindkopa"/>
        <w:numPr>
          <w:ilvl w:val="0"/>
          <w:numId w:val="2"/>
        </w:numPr>
        <w:spacing w:after="0" w:line="240" w:lineRule="auto"/>
        <w:ind w:left="1349" w:hanging="357"/>
        <w:jc w:val="both"/>
        <w:rPr>
          <w:rFonts w:ascii="Times New Roman" w:hAnsi="Times New Roman" w:cs="Times New Roman"/>
          <w:bCs/>
          <w:sz w:val="24"/>
          <w:szCs w:val="24"/>
        </w:rPr>
      </w:pPr>
      <w:r>
        <w:rPr>
          <w:rFonts w:ascii="Times New Roman" w:hAnsi="Times New Roman" w:cs="Times New Roman"/>
          <w:bCs/>
          <w:sz w:val="24"/>
          <w:szCs w:val="24"/>
        </w:rPr>
        <w:t>Dabas parkam „</w:t>
      </w:r>
      <w:proofErr w:type="spellStart"/>
      <w:r>
        <w:rPr>
          <w:rFonts w:ascii="Times New Roman" w:hAnsi="Times New Roman" w:cs="Times New Roman"/>
          <w:bCs/>
          <w:sz w:val="24"/>
          <w:szCs w:val="24"/>
        </w:rPr>
        <w:t>Balkanu</w:t>
      </w:r>
      <w:proofErr w:type="spellEnd"/>
      <w:r>
        <w:rPr>
          <w:rFonts w:ascii="Times New Roman" w:hAnsi="Times New Roman" w:cs="Times New Roman"/>
          <w:bCs/>
          <w:sz w:val="24"/>
          <w:szCs w:val="24"/>
        </w:rPr>
        <w:t xml:space="preserve"> kalni” – EUR 24 156;</w:t>
      </w:r>
    </w:p>
    <w:p w:rsidR="000527A3" w:rsidRDefault="000527A3" w:rsidP="000527A3">
      <w:pPr>
        <w:pStyle w:val="Sarakstarindkopa"/>
        <w:numPr>
          <w:ilvl w:val="0"/>
          <w:numId w:val="2"/>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Latgales programmas projekts “ Uzņēmējdarbības attīstība Austrumu pierobežā” – EUR 1 411 594;</w:t>
      </w:r>
    </w:p>
    <w:p w:rsidR="000527A3" w:rsidRDefault="000527A3" w:rsidP="000527A3">
      <w:pPr>
        <w:pStyle w:val="Sarakstarindkopa"/>
        <w:numPr>
          <w:ilvl w:val="0"/>
          <w:numId w:val="2"/>
        </w:numPr>
        <w:spacing w:after="0" w:line="240" w:lineRule="auto"/>
        <w:ind w:left="1349" w:hanging="357"/>
        <w:jc w:val="both"/>
        <w:rPr>
          <w:rFonts w:ascii="Times New Roman" w:hAnsi="Times New Roman" w:cs="Times New Roman"/>
          <w:bCs/>
          <w:sz w:val="24"/>
          <w:szCs w:val="24"/>
        </w:rPr>
      </w:pPr>
      <w:r>
        <w:rPr>
          <w:rFonts w:ascii="Times New Roman" w:hAnsi="Times New Roman" w:cs="Times New Roman"/>
          <w:bCs/>
          <w:sz w:val="24"/>
          <w:szCs w:val="24"/>
        </w:rPr>
        <w:t xml:space="preserve">Projekts “Green </w:t>
      </w:r>
      <w:proofErr w:type="spellStart"/>
      <w:r>
        <w:rPr>
          <w:rFonts w:ascii="Times New Roman" w:hAnsi="Times New Roman" w:cs="Times New Roman"/>
          <w:bCs/>
          <w:sz w:val="24"/>
          <w:szCs w:val="24"/>
        </w:rPr>
        <w:t>Palette</w:t>
      </w:r>
      <w:proofErr w:type="spellEnd"/>
      <w:r>
        <w:rPr>
          <w:rFonts w:ascii="Times New Roman" w:hAnsi="Times New Roman" w:cs="Times New Roman"/>
          <w:bCs/>
          <w:sz w:val="24"/>
          <w:szCs w:val="24"/>
        </w:rPr>
        <w:t>” – EUR 68 000;</w:t>
      </w:r>
    </w:p>
    <w:p w:rsidR="000527A3" w:rsidRDefault="000527A3" w:rsidP="000527A3">
      <w:pPr>
        <w:pStyle w:val="Sarakstarindkopa"/>
        <w:numPr>
          <w:ilvl w:val="0"/>
          <w:numId w:val="2"/>
        </w:numPr>
        <w:spacing w:after="0" w:line="240" w:lineRule="auto"/>
        <w:ind w:left="1349" w:hanging="357"/>
        <w:jc w:val="both"/>
        <w:rPr>
          <w:rFonts w:ascii="Times New Roman" w:hAnsi="Times New Roman" w:cs="Times New Roman"/>
          <w:bCs/>
          <w:sz w:val="24"/>
          <w:szCs w:val="24"/>
        </w:rPr>
      </w:pPr>
      <w:r>
        <w:rPr>
          <w:rFonts w:ascii="Times New Roman" w:hAnsi="Times New Roman" w:cs="Times New Roman"/>
          <w:bCs/>
          <w:sz w:val="24"/>
          <w:szCs w:val="24"/>
        </w:rPr>
        <w:t>Projekts “Viļakas ezera krasta un salas apsaimniekošanas un labiekārtošanas darbu veikšana” – EUR 20 414;</w:t>
      </w:r>
    </w:p>
    <w:p w:rsidR="000527A3" w:rsidRDefault="000527A3" w:rsidP="000527A3">
      <w:pPr>
        <w:pStyle w:val="Sarakstarindkopa"/>
        <w:numPr>
          <w:ilvl w:val="0"/>
          <w:numId w:val="2"/>
        </w:numPr>
        <w:spacing w:after="0" w:line="240" w:lineRule="auto"/>
        <w:ind w:left="1349" w:hanging="357"/>
        <w:jc w:val="both"/>
        <w:rPr>
          <w:rFonts w:ascii="Times New Roman" w:hAnsi="Times New Roman" w:cs="Times New Roman"/>
          <w:bCs/>
          <w:sz w:val="24"/>
          <w:szCs w:val="24"/>
        </w:rPr>
      </w:pPr>
      <w:r>
        <w:rPr>
          <w:rFonts w:ascii="Times New Roman" w:hAnsi="Times New Roman" w:cs="Times New Roman"/>
          <w:bCs/>
          <w:sz w:val="24"/>
          <w:szCs w:val="24"/>
        </w:rPr>
        <w:t>Projekts „Pieejamības nodrošināšana Viļakas ezera salai, uzstādot koka laipu un pontonu tiltu”- EUR 71 03;</w:t>
      </w:r>
    </w:p>
    <w:p w:rsidR="000527A3" w:rsidRDefault="000527A3" w:rsidP="000527A3">
      <w:pPr>
        <w:pStyle w:val="Sarakstarindkopa"/>
        <w:numPr>
          <w:ilvl w:val="0"/>
          <w:numId w:val="2"/>
        </w:numPr>
        <w:spacing w:after="0" w:line="240" w:lineRule="auto"/>
        <w:ind w:left="1349" w:hanging="357"/>
        <w:jc w:val="both"/>
        <w:rPr>
          <w:rFonts w:ascii="Times New Roman" w:hAnsi="Times New Roman" w:cs="Times New Roman"/>
          <w:bCs/>
          <w:sz w:val="24"/>
          <w:szCs w:val="24"/>
        </w:rPr>
      </w:pPr>
      <w:r>
        <w:rPr>
          <w:rFonts w:ascii="Times New Roman" w:hAnsi="Times New Roman" w:cs="Times New Roman"/>
          <w:bCs/>
          <w:sz w:val="24"/>
          <w:szCs w:val="24"/>
        </w:rPr>
        <w:t xml:space="preserve">Projekts “Green </w:t>
      </w:r>
      <w:proofErr w:type="spellStart"/>
      <w:r>
        <w:rPr>
          <w:rFonts w:ascii="Times New Roman" w:hAnsi="Times New Roman" w:cs="Times New Roman"/>
          <w:bCs/>
          <w:sz w:val="24"/>
          <w:szCs w:val="24"/>
        </w:rPr>
        <w:t>Way</w:t>
      </w:r>
      <w:proofErr w:type="spellEnd"/>
      <w:r>
        <w:rPr>
          <w:rFonts w:ascii="Times New Roman" w:hAnsi="Times New Roman" w:cs="Times New Roman"/>
          <w:bCs/>
          <w:sz w:val="24"/>
          <w:szCs w:val="24"/>
        </w:rPr>
        <w:t>” – EUR 123 218.</w:t>
      </w:r>
    </w:p>
    <w:p w:rsidR="000527A3" w:rsidRDefault="000527A3" w:rsidP="000527A3">
      <w:pPr>
        <w:pStyle w:val="Sarakstarindkopa"/>
        <w:numPr>
          <w:ilvl w:val="0"/>
          <w:numId w:val="2"/>
        </w:numPr>
        <w:spacing w:after="0" w:line="240" w:lineRule="auto"/>
        <w:ind w:left="1349" w:hanging="357"/>
        <w:jc w:val="both"/>
        <w:rPr>
          <w:rFonts w:ascii="Times New Roman" w:hAnsi="Times New Roman" w:cs="Times New Roman"/>
          <w:bCs/>
          <w:sz w:val="24"/>
          <w:szCs w:val="24"/>
        </w:rPr>
      </w:pPr>
      <w:r>
        <w:rPr>
          <w:rFonts w:ascii="Times New Roman" w:hAnsi="Times New Roman" w:cs="Times New Roman"/>
          <w:bCs/>
          <w:sz w:val="24"/>
          <w:szCs w:val="24"/>
        </w:rPr>
        <w:t xml:space="preserve">Autoceļu fonda līdzekļi pašvaldības ceļu un ielu uzturēšanai – EUR 198 455, </w:t>
      </w:r>
      <w:proofErr w:type="spellStart"/>
      <w:r>
        <w:rPr>
          <w:rFonts w:ascii="Times New Roman" w:hAnsi="Times New Roman" w:cs="Times New Roman"/>
          <w:bCs/>
          <w:sz w:val="24"/>
          <w:szCs w:val="24"/>
        </w:rPr>
        <w:t>tsk</w:t>
      </w:r>
      <w:proofErr w:type="spellEnd"/>
      <w:r>
        <w:rPr>
          <w:rFonts w:ascii="Times New Roman" w:hAnsi="Times New Roman" w:cs="Times New Roman"/>
          <w:bCs/>
          <w:sz w:val="24"/>
          <w:szCs w:val="24"/>
        </w:rPr>
        <w:t xml:space="preserve"> tiks ierīkots ielas apgaismojums Borisovas ciemā – EUR 7000;</w:t>
      </w:r>
    </w:p>
    <w:p w:rsidR="000527A3" w:rsidRDefault="000527A3" w:rsidP="000527A3">
      <w:pPr>
        <w:tabs>
          <w:tab w:val="left" w:pos="1950"/>
        </w:tabs>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Saskaņā ar Viļakas novada pašvaldības autoceļu fonda nolikumu mērķdotācija pašvaldības autoceļu un ielu uzturēšanai tiek sadalīta šādi:</w:t>
      </w:r>
    </w:p>
    <w:p w:rsidR="000527A3" w:rsidRDefault="000527A3" w:rsidP="000527A3">
      <w:pPr>
        <w:tabs>
          <w:tab w:val="left" w:pos="1950"/>
        </w:tabs>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Viļakas pilsēta – EUR  39 003;</w:t>
      </w:r>
    </w:p>
    <w:p w:rsidR="000527A3" w:rsidRDefault="000527A3" w:rsidP="000527A3">
      <w:pPr>
        <w:tabs>
          <w:tab w:val="left" w:pos="1950"/>
        </w:tabs>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Kupravas pārvalde – EUR 18 568;</w:t>
      </w:r>
    </w:p>
    <w:p w:rsidR="000527A3" w:rsidRDefault="000527A3" w:rsidP="000527A3">
      <w:pPr>
        <w:tabs>
          <w:tab w:val="left" w:pos="1950"/>
        </w:tabs>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Medņevas pārvalde – EUR 25 577;</w:t>
      </w:r>
    </w:p>
    <w:p w:rsidR="000527A3" w:rsidRDefault="000527A3" w:rsidP="000527A3">
      <w:pPr>
        <w:tabs>
          <w:tab w:val="left" w:pos="1950"/>
        </w:tabs>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Susāju pārvalde – EUR 21 134 ;</w:t>
      </w:r>
    </w:p>
    <w:p w:rsidR="000527A3" w:rsidRDefault="000527A3" w:rsidP="000527A3">
      <w:pPr>
        <w:tabs>
          <w:tab w:val="left" w:pos="1950"/>
        </w:tabs>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Šķilbēnu pārvalde –EUR 38 068;</w:t>
      </w:r>
    </w:p>
    <w:p w:rsidR="000527A3" w:rsidRDefault="000527A3" w:rsidP="000527A3">
      <w:pPr>
        <w:tabs>
          <w:tab w:val="left" w:pos="1950"/>
        </w:tabs>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Vecumu pārvalde – EUR 15 518;</w:t>
      </w:r>
    </w:p>
    <w:p w:rsidR="000527A3" w:rsidRDefault="000527A3" w:rsidP="000527A3">
      <w:pPr>
        <w:tabs>
          <w:tab w:val="left" w:pos="1950"/>
        </w:tabs>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Žīguru pārvalde –EUR 15 934;</w:t>
      </w:r>
    </w:p>
    <w:p w:rsidR="000527A3" w:rsidRDefault="000527A3" w:rsidP="000527A3">
      <w:pPr>
        <w:pStyle w:val="Sarakstarindkopa"/>
        <w:spacing w:after="0" w:line="240" w:lineRule="auto"/>
        <w:ind w:left="1349"/>
        <w:jc w:val="both"/>
        <w:rPr>
          <w:rFonts w:ascii="Times New Roman" w:hAnsi="Times New Roman" w:cs="Times New Roman"/>
          <w:bCs/>
          <w:sz w:val="24"/>
          <w:szCs w:val="24"/>
        </w:rPr>
      </w:pPr>
      <w:r>
        <w:rPr>
          <w:rFonts w:ascii="Times New Roman" w:eastAsia="Calibri" w:hAnsi="Times New Roman" w:cs="Times New Roman"/>
          <w:sz w:val="24"/>
          <w:szCs w:val="24"/>
        </w:rPr>
        <w:t xml:space="preserve">  Novada kopējiem attīstības projektiem –EUR 74 486.</w:t>
      </w:r>
    </w:p>
    <w:p w:rsidR="000527A3" w:rsidRDefault="000527A3" w:rsidP="000527A3">
      <w:pPr>
        <w:pStyle w:val="Sarakstarindkopa"/>
        <w:numPr>
          <w:ilvl w:val="0"/>
          <w:numId w:val="2"/>
        </w:numPr>
        <w:spacing w:after="0" w:line="240" w:lineRule="auto"/>
        <w:ind w:left="1349" w:hanging="357"/>
        <w:jc w:val="both"/>
        <w:rPr>
          <w:rFonts w:ascii="Times New Roman" w:hAnsi="Times New Roman" w:cs="Times New Roman"/>
          <w:bCs/>
          <w:sz w:val="24"/>
          <w:szCs w:val="24"/>
        </w:rPr>
      </w:pPr>
      <w:r>
        <w:rPr>
          <w:rFonts w:ascii="Times New Roman" w:hAnsi="Times New Roman" w:cs="Times New Roman"/>
          <w:bCs/>
          <w:sz w:val="24"/>
          <w:szCs w:val="24"/>
        </w:rPr>
        <w:t>u.c. aktivitātēm - EUR 7 248.</w:t>
      </w:r>
    </w:p>
    <w:p w:rsidR="000527A3" w:rsidRDefault="000527A3" w:rsidP="000527A3">
      <w:pPr>
        <w:spacing w:after="0" w:line="240" w:lineRule="auto"/>
        <w:ind w:firstLine="720"/>
        <w:jc w:val="both"/>
        <w:rPr>
          <w:rFonts w:ascii="Times New Roman" w:hAnsi="Times New Roman" w:cs="Times New Roman"/>
          <w:b/>
          <w:bCs/>
          <w:sz w:val="24"/>
          <w:szCs w:val="24"/>
        </w:rPr>
      </w:pPr>
      <w:r>
        <w:rPr>
          <w:rFonts w:ascii="Times New Roman" w:hAnsi="Times New Roman" w:cs="Times New Roman"/>
          <w:b/>
          <w:bCs/>
          <w:sz w:val="24"/>
          <w:szCs w:val="24"/>
        </w:rPr>
        <w:t>Vides aizsardzība</w:t>
      </w:r>
    </w:p>
    <w:p w:rsidR="000527A3" w:rsidRDefault="000527A3" w:rsidP="000527A3">
      <w:pPr>
        <w:spacing w:after="0" w:line="240" w:lineRule="auto"/>
        <w:ind w:firstLine="720"/>
        <w:jc w:val="both"/>
        <w:rPr>
          <w:rFonts w:ascii="Times New Roman" w:hAnsi="Times New Roman" w:cs="Times New Roman"/>
          <w:b/>
          <w:bCs/>
          <w:sz w:val="24"/>
          <w:szCs w:val="24"/>
        </w:rPr>
      </w:pPr>
      <w:r>
        <w:rPr>
          <w:rFonts w:ascii="Times New Roman" w:eastAsia="Calibri" w:hAnsi="Times New Roman" w:cs="Times New Roman"/>
          <w:sz w:val="24"/>
          <w:szCs w:val="24"/>
        </w:rPr>
        <w:t>Šajā postenī ieplānoti līdzekļi Viļakas novada pārvalžu kanalizācijas un attīrīšanas iekārtu uzturēšanai un apsaimniekošanai,  atkritumu un kā arī citi vides aizsardzības pasākumi. Šie izdevumi</w:t>
      </w:r>
      <w:r>
        <w:rPr>
          <w:rFonts w:ascii="Times New Roman" w:hAnsi="Times New Roman" w:cs="Times New Roman"/>
          <w:bCs/>
          <w:sz w:val="24"/>
          <w:szCs w:val="24"/>
        </w:rPr>
        <w:t xml:space="preserve"> plānoti EUR 50 844 apmērā, </w:t>
      </w:r>
      <w:proofErr w:type="spellStart"/>
      <w:r>
        <w:rPr>
          <w:rFonts w:ascii="Times New Roman" w:hAnsi="Times New Roman" w:cs="Times New Roman"/>
          <w:bCs/>
          <w:sz w:val="24"/>
          <w:szCs w:val="24"/>
        </w:rPr>
        <w:t>tsk</w:t>
      </w:r>
      <w:proofErr w:type="spellEnd"/>
      <w:r>
        <w:rPr>
          <w:rFonts w:ascii="Times New Roman" w:hAnsi="Times New Roman" w:cs="Times New Roman"/>
          <w:bCs/>
          <w:sz w:val="24"/>
          <w:szCs w:val="24"/>
        </w:rPr>
        <w:t xml:space="preserve">. vides aizsardzības pasākumiem no dabas resursu nodokļa – EUR 12 028. </w:t>
      </w:r>
    </w:p>
    <w:p w:rsidR="000527A3" w:rsidRDefault="000527A3" w:rsidP="000527A3">
      <w:pPr>
        <w:spacing w:after="0" w:line="240" w:lineRule="auto"/>
        <w:ind w:firstLine="567"/>
        <w:jc w:val="both"/>
        <w:rPr>
          <w:rFonts w:ascii="Times New Roman" w:hAnsi="Times New Roman" w:cs="Times New Roman"/>
          <w:b/>
          <w:bCs/>
          <w:sz w:val="24"/>
          <w:szCs w:val="24"/>
        </w:rPr>
      </w:pPr>
      <w:r>
        <w:rPr>
          <w:rFonts w:ascii="Times New Roman" w:hAnsi="Times New Roman" w:cs="Times New Roman"/>
          <w:b/>
          <w:bCs/>
          <w:sz w:val="24"/>
          <w:szCs w:val="24"/>
        </w:rPr>
        <w:lastRenderedPageBreak/>
        <w:t>Pašvaldības teritoriju un mājokļu apsaimniekošana</w:t>
      </w:r>
    </w:p>
    <w:p w:rsidR="000527A3" w:rsidRDefault="000527A3" w:rsidP="000527A3">
      <w:pPr>
        <w:spacing w:after="0" w:line="240" w:lineRule="auto"/>
        <w:ind w:firstLine="567"/>
        <w:jc w:val="both"/>
        <w:rPr>
          <w:rFonts w:ascii="Times New Roman" w:hAnsi="Times New Roman" w:cs="Times New Roman"/>
          <w:b/>
          <w:bCs/>
          <w:sz w:val="24"/>
          <w:szCs w:val="24"/>
        </w:rPr>
      </w:pPr>
      <w:r>
        <w:rPr>
          <w:rFonts w:ascii="Times New Roman" w:eastAsia="Calibri" w:hAnsi="Times New Roman" w:cs="Times New Roman"/>
          <w:sz w:val="24"/>
          <w:szCs w:val="24"/>
        </w:rPr>
        <w:t>Šajā postenī kopējie izdevumi plānoti EUR 767 954 apmērā. Šo izdevumu daļu sastāda izdevumi pašvaldības dzīvokļu uzturēšanai, ūdenssaimniecības uzturēšanai un apsaimniekošanai, apkures nodrošināšanai pagastu pārvaldēs, pagastu un pilsētas teritorijas apsaimniekošanai kā arī pārējie izdevumi, kas saistīti ar novada teritorijas sakārtošanu.</w:t>
      </w:r>
    </w:p>
    <w:p w:rsidR="000527A3" w:rsidRDefault="000527A3" w:rsidP="000527A3">
      <w:pPr>
        <w:autoSpaceDE w:val="0"/>
        <w:autoSpaceDN w:val="0"/>
        <w:adjustRightInd w:val="0"/>
        <w:spacing w:after="0" w:line="240" w:lineRule="auto"/>
        <w:ind w:firstLine="720"/>
        <w:jc w:val="both"/>
        <w:rPr>
          <w:rFonts w:ascii="Times New Roman" w:eastAsia="Calibri" w:hAnsi="Times New Roman" w:cs="Times New Roman"/>
          <w:b/>
          <w:sz w:val="24"/>
          <w:szCs w:val="24"/>
        </w:rPr>
      </w:pPr>
      <w:r>
        <w:rPr>
          <w:rFonts w:ascii="Times New Roman" w:eastAsia="Calibri" w:hAnsi="Times New Roman" w:cs="Times New Roman"/>
          <w:b/>
          <w:sz w:val="24"/>
          <w:szCs w:val="24"/>
        </w:rPr>
        <w:t>Veselība</w:t>
      </w:r>
    </w:p>
    <w:p w:rsidR="000527A3" w:rsidRDefault="000527A3" w:rsidP="000527A3">
      <w:pPr>
        <w:autoSpaceDE w:val="0"/>
        <w:autoSpaceDN w:val="0"/>
        <w:adjustRightInd w:val="0"/>
        <w:spacing w:after="0" w:line="240" w:lineRule="auto"/>
        <w:ind w:firstLine="720"/>
        <w:jc w:val="both"/>
        <w:rPr>
          <w:rFonts w:ascii="Times New Roman" w:eastAsia="Calibri" w:hAnsi="Times New Roman" w:cs="Times New Roman"/>
          <w:color w:val="FF0000"/>
          <w:sz w:val="24"/>
          <w:szCs w:val="24"/>
        </w:rPr>
      </w:pPr>
      <w:r>
        <w:rPr>
          <w:rFonts w:ascii="Times New Roman" w:eastAsia="Calibri" w:hAnsi="Times New Roman" w:cs="Times New Roman"/>
          <w:sz w:val="24"/>
          <w:szCs w:val="24"/>
        </w:rPr>
        <w:t>Feldšeru un veselības pun</w:t>
      </w:r>
      <w:r w:rsidR="00DB0AF5">
        <w:rPr>
          <w:rFonts w:ascii="Times New Roman" w:eastAsia="Calibri" w:hAnsi="Times New Roman" w:cs="Times New Roman"/>
          <w:sz w:val="24"/>
          <w:szCs w:val="24"/>
        </w:rPr>
        <w:t>ktu uzturēšanai ieplānoti EUR 34</w:t>
      </w:r>
      <w:r>
        <w:rPr>
          <w:rFonts w:ascii="Times New Roman" w:eastAsia="Calibri" w:hAnsi="Times New Roman" w:cs="Times New Roman"/>
          <w:sz w:val="24"/>
          <w:szCs w:val="24"/>
        </w:rPr>
        <w:t xml:space="preserve"> </w:t>
      </w:r>
      <w:r w:rsidR="00DB0AF5">
        <w:rPr>
          <w:rFonts w:ascii="Times New Roman" w:eastAsia="Calibri" w:hAnsi="Times New Roman" w:cs="Times New Roman"/>
          <w:sz w:val="24"/>
          <w:szCs w:val="24"/>
        </w:rPr>
        <w:t>012</w:t>
      </w:r>
      <w:r>
        <w:rPr>
          <w:rFonts w:ascii="Times New Roman" w:eastAsia="Calibri" w:hAnsi="Times New Roman" w:cs="Times New Roman"/>
          <w:sz w:val="24"/>
          <w:szCs w:val="24"/>
        </w:rPr>
        <w:t>. Kupravas feldšeru un veselības punktam ieplānoti – EUR 10 132, Upītes feldšeru un veselības punktam –  EUR 12 378, projekta “Veselības veicināšanas un slimību profilakses pasākumi Viļakas novadā” īstenošanai – EUR 6 502, projekta “</w:t>
      </w:r>
      <w:proofErr w:type="spellStart"/>
      <w:r>
        <w:rPr>
          <w:rFonts w:ascii="Times New Roman" w:eastAsia="Calibri" w:hAnsi="Times New Roman" w:cs="Times New Roman"/>
          <w:sz w:val="24"/>
          <w:szCs w:val="24"/>
        </w:rPr>
        <w:t>Deinstitucionalizācijas</w:t>
      </w:r>
      <w:proofErr w:type="spellEnd"/>
      <w:r>
        <w:rPr>
          <w:rFonts w:ascii="Times New Roman" w:eastAsia="Calibri" w:hAnsi="Times New Roman" w:cs="Times New Roman"/>
          <w:sz w:val="24"/>
          <w:szCs w:val="24"/>
        </w:rPr>
        <w:t xml:space="preserve"> pasākumu īstenošana Latgales reģionā” īstenošanai – EUR 5 000.</w:t>
      </w:r>
    </w:p>
    <w:p w:rsidR="000527A3" w:rsidRDefault="000527A3" w:rsidP="000527A3">
      <w:pPr>
        <w:spacing w:after="0" w:line="240" w:lineRule="auto"/>
        <w:ind w:firstLine="567"/>
        <w:jc w:val="both"/>
        <w:rPr>
          <w:rFonts w:ascii="Times New Roman" w:hAnsi="Times New Roman" w:cs="Times New Roman"/>
          <w:b/>
          <w:bCs/>
          <w:sz w:val="24"/>
          <w:szCs w:val="24"/>
        </w:rPr>
      </w:pPr>
      <w:r>
        <w:rPr>
          <w:rFonts w:ascii="Times New Roman" w:hAnsi="Times New Roman" w:cs="Times New Roman"/>
          <w:b/>
          <w:bCs/>
          <w:sz w:val="24"/>
          <w:szCs w:val="24"/>
        </w:rPr>
        <w:t>Atpūta, kultūra, sports un reliģija</w:t>
      </w:r>
    </w:p>
    <w:p w:rsidR="000527A3" w:rsidRDefault="000527A3" w:rsidP="000527A3">
      <w:pPr>
        <w:autoSpaceDE w:val="0"/>
        <w:autoSpaceDN w:val="0"/>
        <w:adjustRightInd w:val="0"/>
        <w:spacing w:after="0" w:line="240" w:lineRule="auto"/>
        <w:ind w:firstLine="720"/>
        <w:jc w:val="both"/>
        <w:rPr>
          <w:rFonts w:ascii="Times New Roman" w:eastAsia="Calibri" w:hAnsi="Times New Roman" w:cs="Times New Roman"/>
          <w:color w:val="FF0000"/>
          <w:sz w:val="24"/>
          <w:szCs w:val="24"/>
        </w:rPr>
      </w:pPr>
      <w:r>
        <w:rPr>
          <w:rFonts w:ascii="Times New Roman" w:hAnsi="Times New Roman" w:cs="Times New Roman"/>
          <w:bCs/>
          <w:sz w:val="24"/>
          <w:szCs w:val="24"/>
        </w:rPr>
        <w:t>Izdevumi plānoti EUR 1 028 642</w:t>
      </w:r>
      <w:r>
        <w:rPr>
          <w:rFonts w:ascii="Times New Roman" w:hAnsi="Times New Roman" w:cs="Times New Roman"/>
          <w:sz w:val="24"/>
          <w:szCs w:val="24"/>
        </w:rPr>
        <w:t xml:space="preserve"> </w:t>
      </w:r>
      <w:r>
        <w:rPr>
          <w:rFonts w:ascii="Times New Roman" w:hAnsi="Times New Roman" w:cs="Times New Roman"/>
          <w:bCs/>
          <w:sz w:val="24"/>
          <w:szCs w:val="24"/>
        </w:rPr>
        <w:t xml:space="preserve">apmērā. </w:t>
      </w:r>
      <w:r>
        <w:rPr>
          <w:rFonts w:ascii="Times New Roman" w:eastAsia="Calibri" w:hAnsi="Times New Roman" w:cs="Times New Roman"/>
          <w:sz w:val="24"/>
          <w:szCs w:val="24"/>
        </w:rPr>
        <w:t>Novada muzeju darbības nodrošināšanai ieplānoti EUR 130 630.  Viļakas novada muzejā tiks īstenoti šādi projekti: projekts "Kvalitatīvas tūrisma un dabas izziņas infrastruktūras izveide dabas piemineklī "</w:t>
      </w:r>
      <w:proofErr w:type="spellStart"/>
      <w:r>
        <w:rPr>
          <w:rFonts w:ascii="Times New Roman" w:eastAsia="Calibri" w:hAnsi="Times New Roman" w:cs="Times New Roman"/>
          <w:sz w:val="24"/>
          <w:szCs w:val="24"/>
        </w:rPr>
        <w:t>Stiglovas</w:t>
      </w:r>
      <w:proofErr w:type="spellEnd"/>
      <w:r>
        <w:rPr>
          <w:rFonts w:ascii="Times New Roman" w:eastAsia="Calibri" w:hAnsi="Times New Roman" w:cs="Times New Roman"/>
          <w:sz w:val="24"/>
          <w:szCs w:val="24"/>
        </w:rPr>
        <w:t xml:space="preserve"> atsegumi"" – EUR 7690, projekts "Vietējā </w:t>
      </w:r>
      <w:proofErr w:type="spellStart"/>
      <w:r>
        <w:rPr>
          <w:rFonts w:ascii="Times New Roman" w:eastAsia="Calibri" w:hAnsi="Times New Roman" w:cs="Times New Roman"/>
          <w:sz w:val="24"/>
          <w:szCs w:val="24"/>
        </w:rPr>
        <w:t>velomaršruta</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Tepenīcas</w:t>
      </w:r>
      <w:proofErr w:type="spellEnd"/>
      <w:r>
        <w:rPr>
          <w:rFonts w:ascii="Times New Roman" w:eastAsia="Calibri" w:hAnsi="Times New Roman" w:cs="Times New Roman"/>
          <w:sz w:val="24"/>
          <w:szCs w:val="24"/>
        </w:rPr>
        <w:t xml:space="preserve"> aplis" izveide" – EUR 1 937, projekts "Viļakas viduslaiku pils maketa izgatavošana" – EUR 11 036, kā arī tradicionālo  - 4.Starptauskais mākslas plenērs "Valdis Bušs 2020" – EUR 9 680. Novada sporta pasākumu un aktivitāšu nodrošināšanai ieplānoti EUR 25 737. Viļakas novada bibliotēku darbības nodrošināšanai ieplānoti EUR 126 152, t.sk bibliotēku krājumu palielināšanai – EUR 4990, periodikas iegādei – EUR 3153. Kultūras un Tautas namiem, centriem un pasākumiem ieplānoti  EUR 658 252, t.sk. pašdarbības kolektīvu un pulciņu vadītāju atalgojumam  EUR 34 223. Nemateriālās kultūras mantojuma centrs „Upīte” īstenos LV-</w:t>
      </w:r>
      <w:proofErr w:type="spellStart"/>
      <w:r>
        <w:rPr>
          <w:rFonts w:ascii="Times New Roman" w:eastAsia="Calibri" w:hAnsi="Times New Roman" w:cs="Times New Roman"/>
          <w:sz w:val="24"/>
          <w:szCs w:val="24"/>
        </w:rPr>
        <w:t>LT_Belarus</w:t>
      </w:r>
      <w:proofErr w:type="spellEnd"/>
      <w:r>
        <w:rPr>
          <w:rFonts w:ascii="Times New Roman" w:eastAsia="Calibri" w:hAnsi="Times New Roman" w:cs="Times New Roman"/>
          <w:sz w:val="24"/>
          <w:szCs w:val="24"/>
        </w:rPr>
        <w:t xml:space="preserve"> programmas projektu "</w:t>
      </w:r>
      <w:proofErr w:type="spellStart"/>
      <w:r>
        <w:rPr>
          <w:rFonts w:ascii="Times New Roman" w:eastAsia="Calibri" w:hAnsi="Times New Roman" w:cs="Times New Roman"/>
          <w:sz w:val="24"/>
          <w:szCs w:val="24"/>
        </w:rPr>
        <w:t>Neighbors</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together</w:t>
      </w:r>
      <w:proofErr w:type="spellEnd"/>
      <w:r>
        <w:rPr>
          <w:rFonts w:ascii="Times New Roman" w:eastAsia="Calibri" w:hAnsi="Times New Roman" w:cs="Times New Roman"/>
          <w:sz w:val="24"/>
          <w:szCs w:val="24"/>
        </w:rPr>
        <w:t xml:space="preserve">" ("Kaimiņi kopā") Upītes tautas nama rekonstrukcija – EUR 419 000 (377100EUR no fonda)  Jauniešu un iniciatīvu centram ieplānoti EUR 44 226. </w:t>
      </w:r>
    </w:p>
    <w:p w:rsidR="000527A3" w:rsidRDefault="000527A3" w:rsidP="000527A3">
      <w:pPr>
        <w:spacing w:after="0" w:line="240" w:lineRule="auto"/>
        <w:ind w:firstLine="567"/>
        <w:jc w:val="both"/>
        <w:rPr>
          <w:rFonts w:ascii="Times New Roman" w:hAnsi="Times New Roman" w:cs="Times New Roman"/>
          <w:b/>
          <w:bCs/>
          <w:sz w:val="24"/>
          <w:szCs w:val="24"/>
        </w:rPr>
      </w:pPr>
      <w:r>
        <w:rPr>
          <w:rFonts w:ascii="Times New Roman" w:hAnsi="Times New Roman" w:cs="Times New Roman"/>
          <w:b/>
          <w:bCs/>
          <w:sz w:val="24"/>
          <w:szCs w:val="24"/>
        </w:rPr>
        <w:t>Izglītība</w:t>
      </w:r>
    </w:p>
    <w:p w:rsidR="000527A3" w:rsidRDefault="000527A3" w:rsidP="000527A3">
      <w:pPr>
        <w:spacing w:after="0" w:line="240" w:lineRule="auto"/>
        <w:ind w:firstLine="567"/>
        <w:jc w:val="both"/>
        <w:rPr>
          <w:rFonts w:ascii="Times New Roman" w:hAnsi="Times New Roman" w:cs="Times New Roman"/>
          <w:sz w:val="24"/>
          <w:szCs w:val="24"/>
        </w:rPr>
      </w:pPr>
      <w:r>
        <w:rPr>
          <w:rFonts w:ascii="Times New Roman" w:hAnsi="Times New Roman" w:cs="Times New Roman"/>
          <w:bCs/>
          <w:sz w:val="24"/>
          <w:szCs w:val="24"/>
        </w:rPr>
        <w:t>Izdevumi plānoti EUR  2 414 501 apmērā</w:t>
      </w:r>
      <w:r>
        <w:rPr>
          <w:rFonts w:ascii="Times New Roman" w:hAnsi="Times New Roman" w:cs="Times New Roman"/>
          <w:sz w:val="24"/>
          <w:szCs w:val="24"/>
        </w:rPr>
        <w:t>. Šos izdevumus veido:</w:t>
      </w:r>
    </w:p>
    <w:p w:rsidR="000527A3" w:rsidRDefault="000527A3" w:rsidP="000527A3">
      <w:pPr>
        <w:pStyle w:val="Sarakstarindkopa"/>
        <w:numPr>
          <w:ilvl w:val="1"/>
          <w:numId w:val="3"/>
        </w:numPr>
        <w:tabs>
          <w:tab w:val="left" w:pos="1950"/>
        </w:tabs>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Pirmsskolas izglītības iestādēm - EUR 369 007;</w:t>
      </w:r>
    </w:p>
    <w:p w:rsidR="000527A3" w:rsidRDefault="000527A3" w:rsidP="000527A3">
      <w:pPr>
        <w:pStyle w:val="Sarakstarindkopa"/>
        <w:numPr>
          <w:ilvl w:val="1"/>
          <w:numId w:val="3"/>
        </w:numPr>
        <w:tabs>
          <w:tab w:val="left" w:pos="1950"/>
        </w:tabs>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Novada pamatskolām un vidusskolām - EUR 1 333 763;</w:t>
      </w:r>
    </w:p>
    <w:p w:rsidR="000527A3" w:rsidRDefault="000527A3" w:rsidP="000527A3">
      <w:pPr>
        <w:pStyle w:val="Sarakstarindkopa"/>
        <w:numPr>
          <w:ilvl w:val="3"/>
          <w:numId w:val="3"/>
        </w:numPr>
        <w:autoSpaceDE w:val="0"/>
        <w:autoSpaceDN w:val="0"/>
        <w:adjustRightInd w:val="0"/>
        <w:spacing w:after="0" w:line="240" w:lineRule="auto"/>
        <w:ind w:left="1418"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Projektam "Modernizēt mācību vidi Viļakas Valsts ģimnāzijā"-EUR 14 000;</w:t>
      </w:r>
    </w:p>
    <w:p w:rsidR="000527A3" w:rsidRDefault="000527A3" w:rsidP="000527A3">
      <w:pPr>
        <w:pStyle w:val="Sarakstarindkopa"/>
        <w:numPr>
          <w:ilvl w:val="1"/>
          <w:numId w:val="3"/>
        </w:numPr>
        <w:tabs>
          <w:tab w:val="left" w:pos="1950"/>
        </w:tabs>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Viļakas bērnu un jaunatnes sporta skolai – EUR 11 2613;</w:t>
      </w:r>
    </w:p>
    <w:p w:rsidR="000527A3" w:rsidRDefault="000527A3" w:rsidP="000527A3">
      <w:pPr>
        <w:pStyle w:val="Sarakstarindkopa"/>
        <w:numPr>
          <w:ilvl w:val="1"/>
          <w:numId w:val="3"/>
        </w:numPr>
        <w:tabs>
          <w:tab w:val="left" w:pos="1950"/>
        </w:tabs>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hAnsi="Times New Roman" w:cs="Times New Roman"/>
          <w:sz w:val="24"/>
          <w:szCs w:val="24"/>
          <w:shd w:val="clear" w:color="auto" w:fill="F1F1F1"/>
        </w:rPr>
        <w:t>Viļakas mūzikas un mākslas skolai – EUR 147 184;</w:t>
      </w:r>
    </w:p>
    <w:p w:rsidR="000527A3" w:rsidRDefault="000527A3" w:rsidP="000527A3">
      <w:pPr>
        <w:pStyle w:val="Sarakstarindkopa"/>
        <w:numPr>
          <w:ilvl w:val="1"/>
          <w:numId w:val="3"/>
        </w:numPr>
        <w:tabs>
          <w:tab w:val="left" w:pos="1950"/>
        </w:tabs>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Norēķiniem par citu pašvaldību izglītības sniegtajiem pakalpojumiem – EUR102000;</w:t>
      </w:r>
    </w:p>
    <w:p w:rsidR="000527A3" w:rsidRDefault="000527A3" w:rsidP="000527A3">
      <w:pPr>
        <w:pStyle w:val="Sarakstarindkopa"/>
        <w:numPr>
          <w:ilvl w:val="1"/>
          <w:numId w:val="3"/>
        </w:numPr>
        <w:tabs>
          <w:tab w:val="left" w:pos="709"/>
          <w:tab w:val="left" w:pos="1950"/>
        </w:tabs>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Izglītības, kultūras un sporta pārvaldei ieplānoti – EUR 110 807, t.sk. kultūras sadaļas izdevumiem EUR 34 300,</w:t>
      </w:r>
    </w:p>
    <w:p w:rsidR="000527A3" w:rsidRDefault="000527A3" w:rsidP="000527A3">
      <w:pPr>
        <w:pStyle w:val="Sarakstarindkopa"/>
        <w:numPr>
          <w:ilvl w:val="1"/>
          <w:numId w:val="3"/>
        </w:numPr>
        <w:tabs>
          <w:tab w:val="left" w:pos="709"/>
          <w:tab w:val="left" w:pos="1950"/>
        </w:tabs>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Izglītības, kultūras un sporta pārvalde īsteno šādus projektus: </w:t>
      </w:r>
      <w:r>
        <w:rPr>
          <w:rFonts w:ascii="Times New Roman" w:eastAsia="Times New Roman" w:hAnsi="Times New Roman" w:cs="Times New Roman"/>
          <w:sz w:val="24"/>
          <w:szCs w:val="24"/>
          <w:lang w:eastAsia="ru-RU"/>
        </w:rPr>
        <w:t>"Atbalsts priekšlaicīgas mācību pārtraukšanas samazināšanai"; "Karjeras atbalsts vispārējās un profesionālās izglītības iestādēs; „Latvijas skolas soma”; „Atbalsts izglītojamo individuālo kompetenču attīstībai”.</w:t>
      </w:r>
    </w:p>
    <w:p w:rsidR="000527A3" w:rsidRDefault="000527A3" w:rsidP="000527A3">
      <w:pPr>
        <w:pStyle w:val="Sarakstarindkopa"/>
        <w:numPr>
          <w:ilvl w:val="1"/>
          <w:numId w:val="3"/>
        </w:numPr>
        <w:tabs>
          <w:tab w:val="left" w:pos="709"/>
          <w:tab w:val="left" w:pos="1950"/>
        </w:tabs>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XII skolēnu dziesmu un deju svētkiem – EUR 4749.</w:t>
      </w:r>
    </w:p>
    <w:p w:rsidR="000527A3" w:rsidRDefault="000527A3" w:rsidP="000527A3">
      <w:pPr>
        <w:pStyle w:val="Sarakstarindkopa"/>
        <w:numPr>
          <w:ilvl w:val="1"/>
          <w:numId w:val="3"/>
        </w:numPr>
        <w:tabs>
          <w:tab w:val="left" w:pos="709"/>
          <w:tab w:val="left" w:pos="1950"/>
        </w:tabs>
        <w:autoSpaceDE w:val="0"/>
        <w:autoSpaceDN w:val="0"/>
        <w:adjustRightInd w:val="0"/>
        <w:spacing w:after="0" w:line="240" w:lineRule="auto"/>
        <w:jc w:val="both"/>
        <w:rPr>
          <w:rFonts w:ascii="Times New Roman" w:hAnsi="Times New Roman" w:cs="Times New Roman"/>
          <w:b/>
          <w:sz w:val="24"/>
          <w:szCs w:val="24"/>
        </w:rPr>
      </w:pPr>
      <w:r>
        <w:rPr>
          <w:rFonts w:ascii="Times New Roman" w:eastAsia="Calibri" w:hAnsi="Times New Roman" w:cs="Times New Roman"/>
          <w:sz w:val="24"/>
          <w:szCs w:val="24"/>
        </w:rPr>
        <w:t xml:space="preserve">Izglītības papildus pakalpojumiem t.i. skolēnu ceļa izdevumu segšanai, skolēnu pārvadājumiem </w:t>
      </w:r>
      <w:proofErr w:type="spellStart"/>
      <w:r>
        <w:rPr>
          <w:rFonts w:ascii="Times New Roman" w:eastAsia="Calibri" w:hAnsi="Times New Roman" w:cs="Times New Roman"/>
          <w:sz w:val="24"/>
          <w:szCs w:val="24"/>
        </w:rPr>
        <w:t>utml</w:t>
      </w:r>
      <w:proofErr w:type="spellEnd"/>
      <w:r>
        <w:rPr>
          <w:rFonts w:ascii="Times New Roman" w:eastAsia="Calibri" w:hAnsi="Times New Roman" w:cs="Times New Roman"/>
          <w:sz w:val="24"/>
          <w:szCs w:val="24"/>
        </w:rPr>
        <w:t>. – EUR 121 51.</w:t>
      </w:r>
    </w:p>
    <w:p w:rsidR="000527A3" w:rsidRDefault="000527A3" w:rsidP="000527A3">
      <w:pPr>
        <w:tabs>
          <w:tab w:val="left" w:pos="709"/>
          <w:tab w:val="left" w:pos="1950"/>
        </w:tabs>
        <w:autoSpaceDE w:val="0"/>
        <w:autoSpaceDN w:val="0"/>
        <w:adjustRightInd w:val="0"/>
        <w:spacing w:after="0" w:line="240" w:lineRule="auto"/>
        <w:jc w:val="both"/>
        <w:rPr>
          <w:rFonts w:ascii="Times New Roman" w:hAnsi="Times New Roman" w:cs="Times New Roman"/>
          <w:b/>
          <w:sz w:val="24"/>
          <w:szCs w:val="24"/>
        </w:rPr>
      </w:pPr>
      <w:r>
        <w:rPr>
          <w:rFonts w:ascii="Times New Roman" w:eastAsia="Calibri" w:hAnsi="Times New Roman" w:cs="Times New Roman"/>
          <w:b/>
          <w:color w:val="FF0000"/>
          <w:sz w:val="24"/>
          <w:szCs w:val="24"/>
        </w:rPr>
        <w:t xml:space="preserve">      </w:t>
      </w:r>
      <w:r>
        <w:rPr>
          <w:rFonts w:ascii="Times New Roman" w:eastAsia="Calibri" w:hAnsi="Times New Roman" w:cs="Times New Roman"/>
          <w:b/>
          <w:sz w:val="24"/>
          <w:szCs w:val="24"/>
        </w:rPr>
        <w:t xml:space="preserve">      S</w:t>
      </w:r>
      <w:r>
        <w:rPr>
          <w:rFonts w:ascii="Times New Roman" w:hAnsi="Times New Roman" w:cs="Times New Roman"/>
          <w:b/>
          <w:sz w:val="24"/>
          <w:szCs w:val="24"/>
        </w:rPr>
        <w:t>ociālā aizsardzība</w:t>
      </w:r>
    </w:p>
    <w:p w:rsidR="000527A3" w:rsidRDefault="000527A3" w:rsidP="000527A3">
      <w:pPr>
        <w:tabs>
          <w:tab w:val="left" w:pos="0"/>
        </w:tabs>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ab/>
      </w:r>
      <w:r>
        <w:rPr>
          <w:rFonts w:ascii="Times New Roman" w:eastAsia="Calibri" w:hAnsi="Times New Roman" w:cs="Times New Roman"/>
          <w:sz w:val="24"/>
          <w:szCs w:val="24"/>
        </w:rPr>
        <w:t xml:space="preserve">Sociālās aizsardzības izdevumi 2020.gadā plānoti EUR 1 284 044. No asignējumiem sociālajai aizsardzībai EUR 127 540 paredzēti pabalstiem un palīdzībai </w:t>
      </w:r>
      <w:r>
        <w:rPr>
          <w:rFonts w:ascii="Times New Roman" w:eastAsia="Calibri" w:hAnsi="Times New Roman" w:cs="Times New Roman"/>
          <w:sz w:val="24"/>
          <w:szCs w:val="24"/>
        </w:rPr>
        <w:lastRenderedPageBreak/>
        <w:t>pašvaldības maznodrošinātajiem iedzīvotājiem.</w:t>
      </w:r>
      <w:r>
        <w:rPr>
          <w:rFonts w:ascii="Times New Roman" w:eastAsia="Times New Roman" w:hAnsi="Times New Roman" w:cs="Times New Roman"/>
          <w:lang w:eastAsia="lv-LV"/>
        </w:rPr>
        <w:t xml:space="preserve"> </w:t>
      </w:r>
      <w:proofErr w:type="spellStart"/>
      <w:r>
        <w:rPr>
          <w:rFonts w:ascii="Times New Roman" w:eastAsia="Times New Roman" w:hAnsi="Times New Roman" w:cs="Times New Roman"/>
          <w:lang w:eastAsia="lv-LV"/>
        </w:rPr>
        <w:t>Transfertiem</w:t>
      </w:r>
      <w:proofErr w:type="spellEnd"/>
      <w:r>
        <w:rPr>
          <w:rFonts w:ascii="Times New Roman" w:eastAsia="Times New Roman" w:hAnsi="Times New Roman" w:cs="Times New Roman"/>
          <w:lang w:eastAsia="lv-LV"/>
        </w:rPr>
        <w:t xml:space="preserve"> citām pašvaldībām sociālo funkciju nodrošināšanai - EUR 19 252.</w:t>
      </w:r>
      <w:r>
        <w:rPr>
          <w:rFonts w:ascii="Times New Roman" w:eastAsia="Calibri" w:hAnsi="Times New Roman" w:cs="Times New Roman"/>
          <w:sz w:val="24"/>
          <w:szCs w:val="24"/>
        </w:rPr>
        <w:t xml:space="preserve">  Sociālās palīdzības dienesta uzturēšanai ieplānoti EUR 143 658. Bāriņtiesai – EUR 56 551.  </w:t>
      </w:r>
    </w:p>
    <w:p w:rsidR="000527A3" w:rsidRDefault="000527A3" w:rsidP="000527A3">
      <w:pPr>
        <w:tabs>
          <w:tab w:val="left" w:pos="851"/>
        </w:tabs>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color w:val="FF0000"/>
          <w:sz w:val="24"/>
          <w:szCs w:val="24"/>
        </w:rPr>
        <w:t xml:space="preserve">           </w:t>
      </w:r>
      <w:r>
        <w:rPr>
          <w:rFonts w:ascii="Times New Roman" w:eastAsia="Calibri" w:hAnsi="Times New Roman" w:cs="Times New Roman"/>
          <w:sz w:val="24"/>
          <w:szCs w:val="24"/>
        </w:rPr>
        <w:t xml:space="preserve">     Saskaņā ar 2012.gada 18.decembra Ministru kabineta noteikumiem Nr.942 “Kārtība, kādā piešķir un finansē asistenta pakalpojumu pašvaldībās”, 2020.gadā pašvaldība nodrošinās asistenta pakalpojumus personām, kurām noteikta I un II invaliditātes grupa EUR 19 509 apmērā.</w:t>
      </w:r>
      <w:r>
        <w:rPr>
          <w:rFonts w:ascii="Times New Roman" w:eastAsia="Calibri" w:hAnsi="Times New Roman" w:cs="Times New Roman"/>
          <w:sz w:val="24"/>
          <w:szCs w:val="24"/>
        </w:rPr>
        <w:tab/>
      </w:r>
    </w:p>
    <w:p w:rsidR="000527A3" w:rsidRDefault="000527A3" w:rsidP="000527A3">
      <w:pPr>
        <w:tabs>
          <w:tab w:val="left" w:pos="851"/>
        </w:tabs>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 xml:space="preserve">Viļakas novada sociālās aprūpes iestāžu uzturēšanai un labiekārtošanai ieplānoti EUR 378 507. </w:t>
      </w:r>
    </w:p>
    <w:p w:rsidR="000527A3" w:rsidRDefault="000527A3" w:rsidP="000527A3">
      <w:pPr>
        <w:tabs>
          <w:tab w:val="left" w:pos="851"/>
        </w:tabs>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t>Viļakas novada dome īstenos projektu „Sabiedrībā balstītu sociālo pakalpojumu infrastruktūras izveide un attīstība Viļakas novadā’- EUR 526 6865, kura rezultātā tiks atjaunotas un pielāgotas divas dzīvojamās mājas Viļakas pilsētā cilvēkiem ar īpašām vajadzībām.</w:t>
      </w:r>
    </w:p>
    <w:p w:rsidR="000527A3" w:rsidRDefault="000527A3" w:rsidP="000527A3">
      <w:pPr>
        <w:spacing w:after="0" w:line="240" w:lineRule="auto"/>
        <w:ind w:firstLine="567"/>
        <w:rPr>
          <w:rFonts w:ascii="Times New Roman" w:hAnsi="Times New Roman" w:cs="Times New Roman"/>
          <w:sz w:val="24"/>
          <w:szCs w:val="24"/>
        </w:rPr>
      </w:pPr>
      <w:r>
        <w:rPr>
          <w:rFonts w:ascii="Times New Roman" w:hAnsi="Times New Roman" w:cs="Times New Roman"/>
          <w:b/>
          <w:sz w:val="24"/>
          <w:szCs w:val="24"/>
        </w:rPr>
        <w:t xml:space="preserve">Pašvaldības aizņēmumi </w:t>
      </w:r>
    </w:p>
    <w:p w:rsidR="000527A3" w:rsidRDefault="000527A3" w:rsidP="000527A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2020.gadā pašvaldība plāno aizņemties EUR 2 295 445 dažādu projektu realizēšanai. Veiksmīgi īstenojot projektus 2020.gadā kopējā aizņēmumu atmaksa plānota EUR1 281 143. </w:t>
      </w:r>
    </w:p>
    <w:p w:rsidR="000527A3" w:rsidRDefault="000527A3" w:rsidP="000527A3">
      <w:pPr>
        <w:tabs>
          <w:tab w:val="left" w:pos="1950"/>
        </w:tabs>
        <w:autoSpaceDE w:val="0"/>
        <w:autoSpaceDN w:val="0"/>
        <w:adjustRightInd w:val="0"/>
        <w:spacing w:after="0" w:line="240" w:lineRule="auto"/>
        <w:jc w:val="both"/>
        <w:outlineLvl w:val="0"/>
        <w:rPr>
          <w:rFonts w:ascii="Times New Roman" w:eastAsia="Calibri" w:hAnsi="Times New Roman" w:cs="Times New Roman"/>
          <w:color w:val="FF0000"/>
          <w:sz w:val="24"/>
          <w:szCs w:val="24"/>
        </w:rPr>
      </w:pPr>
    </w:p>
    <w:p w:rsidR="000527A3" w:rsidRDefault="000527A3" w:rsidP="000527A3">
      <w:pPr>
        <w:tabs>
          <w:tab w:val="left" w:pos="1950"/>
        </w:tabs>
        <w:autoSpaceDE w:val="0"/>
        <w:autoSpaceDN w:val="0"/>
        <w:adjustRightInd w:val="0"/>
        <w:spacing w:after="0" w:line="240" w:lineRule="auto"/>
        <w:jc w:val="center"/>
        <w:outlineLvl w:val="0"/>
        <w:rPr>
          <w:rFonts w:ascii="Times New Roman" w:hAnsi="Times New Roman" w:cs="Times New Roman"/>
          <w:b/>
          <w:sz w:val="24"/>
          <w:szCs w:val="24"/>
        </w:rPr>
      </w:pPr>
    </w:p>
    <w:p w:rsidR="000527A3" w:rsidRDefault="000527A3" w:rsidP="000527A3">
      <w:pPr>
        <w:tabs>
          <w:tab w:val="left" w:pos="1950"/>
        </w:tabs>
        <w:autoSpaceDE w:val="0"/>
        <w:autoSpaceDN w:val="0"/>
        <w:adjustRightInd w:val="0"/>
        <w:spacing w:after="0" w:line="240" w:lineRule="auto"/>
        <w:jc w:val="center"/>
        <w:outlineLvl w:val="0"/>
        <w:rPr>
          <w:rFonts w:ascii="Times New Roman" w:hAnsi="Times New Roman" w:cs="Times New Roman"/>
          <w:b/>
          <w:sz w:val="24"/>
          <w:szCs w:val="24"/>
        </w:rPr>
      </w:pPr>
    </w:p>
    <w:p w:rsidR="000527A3" w:rsidRDefault="000527A3" w:rsidP="000527A3">
      <w:pPr>
        <w:tabs>
          <w:tab w:val="left" w:pos="1950"/>
        </w:tabs>
        <w:autoSpaceDE w:val="0"/>
        <w:autoSpaceDN w:val="0"/>
        <w:adjustRightInd w:val="0"/>
        <w:spacing w:after="0" w:line="240" w:lineRule="auto"/>
        <w:jc w:val="center"/>
        <w:outlineLvl w:val="0"/>
        <w:rPr>
          <w:rFonts w:ascii="Times New Roman" w:hAnsi="Times New Roman" w:cs="Times New Roman"/>
          <w:b/>
          <w:sz w:val="24"/>
          <w:szCs w:val="24"/>
        </w:rPr>
      </w:pPr>
    </w:p>
    <w:p w:rsidR="000527A3" w:rsidRDefault="000527A3" w:rsidP="000527A3">
      <w:pPr>
        <w:tabs>
          <w:tab w:val="left" w:pos="1950"/>
        </w:tabs>
        <w:autoSpaceDE w:val="0"/>
        <w:autoSpaceDN w:val="0"/>
        <w:adjustRightInd w:val="0"/>
        <w:spacing w:after="0" w:line="240" w:lineRule="auto"/>
        <w:jc w:val="center"/>
        <w:outlineLvl w:val="0"/>
        <w:rPr>
          <w:rFonts w:ascii="Times New Roman" w:hAnsi="Times New Roman" w:cs="Times New Roman"/>
          <w:b/>
          <w:sz w:val="24"/>
          <w:szCs w:val="24"/>
        </w:rPr>
      </w:pPr>
    </w:p>
    <w:p w:rsidR="000527A3" w:rsidRDefault="000527A3" w:rsidP="000527A3">
      <w:pPr>
        <w:tabs>
          <w:tab w:val="left" w:pos="1950"/>
        </w:tabs>
        <w:autoSpaceDE w:val="0"/>
        <w:autoSpaceDN w:val="0"/>
        <w:adjustRightInd w:val="0"/>
        <w:spacing w:after="0" w:line="240" w:lineRule="auto"/>
        <w:jc w:val="center"/>
        <w:outlineLvl w:val="0"/>
        <w:rPr>
          <w:rFonts w:ascii="Times New Roman" w:hAnsi="Times New Roman" w:cs="Times New Roman"/>
          <w:b/>
          <w:sz w:val="24"/>
          <w:szCs w:val="24"/>
        </w:rPr>
      </w:pPr>
      <w:r>
        <w:rPr>
          <w:rFonts w:ascii="Times New Roman" w:hAnsi="Times New Roman" w:cs="Times New Roman"/>
          <w:b/>
          <w:sz w:val="24"/>
          <w:szCs w:val="24"/>
        </w:rPr>
        <w:t>Programma turpmākajiem 2 saimnieciskajiem gadiem</w:t>
      </w:r>
    </w:p>
    <w:p w:rsidR="000527A3" w:rsidRDefault="000527A3" w:rsidP="000527A3">
      <w:pPr>
        <w:tabs>
          <w:tab w:val="left" w:pos="1950"/>
        </w:tabs>
        <w:autoSpaceDE w:val="0"/>
        <w:autoSpaceDN w:val="0"/>
        <w:adjustRightInd w:val="0"/>
        <w:spacing w:after="0" w:line="240" w:lineRule="auto"/>
        <w:jc w:val="center"/>
        <w:outlineLvl w:val="0"/>
        <w:rPr>
          <w:rFonts w:ascii="Times New Roman" w:hAnsi="Times New Roman" w:cs="Times New Roman"/>
          <w:b/>
          <w:sz w:val="24"/>
          <w:szCs w:val="24"/>
        </w:rPr>
      </w:pPr>
    </w:p>
    <w:p w:rsidR="000527A3" w:rsidRDefault="000527A3" w:rsidP="000527A3">
      <w:pPr>
        <w:spacing w:after="0" w:line="240" w:lineRule="auto"/>
        <w:ind w:firstLine="567"/>
        <w:jc w:val="both"/>
        <w:rPr>
          <w:rFonts w:ascii="Times New Roman" w:hAnsi="Times New Roman" w:cs="Times New Roman"/>
          <w:b/>
          <w:sz w:val="24"/>
          <w:szCs w:val="24"/>
        </w:rPr>
      </w:pPr>
      <w:r>
        <w:rPr>
          <w:rFonts w:ascii="Times New Roman" w:hAnsi="Times New Roman" w:cs="Times New Roman"/>
          <w:sz w:val="24"/>
          <w:szCs w:val="24"/>
        </w:rPr>
        <w:t xml:space="preserve">Saskaņā ar Viļakas novada attīstības programmu 2018. – 2024.gadam turpmākajos 2 saimnieciskajos gados kā viena no galvenajām prioritātēm noteikta sociālās aprūpes iestāžu infrastruktūras sakārtošana, veidojot mūsdienu prasībām atbilstošu pakalpojumu vecāka gadagājuma iedzīvotājiem. Kā otra prioritāte ir pašvaldības ielu un ceļu uzturēšana, tas ir grāvju atjaunošana, grants seguma pastiprināšana un finanšu iespēju robežās arī ielu un ceļu rekonstrukcija. Kā trešā prioritāte –  tūrisma infrastruktūras un tūrisma pakalpojumu papildināšana, sadarbojoties ar uzņēmējiem un citām pašvaldībām. </w:t>
      </w:r>
    </w:p>
    <w:p w:rsidR="000527A3" w:rsidRDefault="000527A3" w:rsidP="000527A3">
      <w:pPr>
        <w:tabs>
          <w:tab w:val="left" w:pos="1950"/>
        </w:tabs>
        <w:autoSpaceDE w:val="0"/>
        <w:autoSpaceDN w:val="0"/>
        <w:adjustRightInd w:val="0"/>
        <w:spacing w:after="0" w:line="240" w:lineRule="auto"/>
        <w:jc w:val="center"/>
        <w:outlineLvl w:val="0"/>
        <w:rPr>
          <w:rFonts w:ascii="Times New Roman" w:eastAsia="Calibri" w:hAnsi="Times New Roman" w:cs="Times New Roman"/>
          <w:b/>
          <w:color w:val="FF0000"/>
          <w:sz w:val="24"/>
          <w:szCs w:val="24"/>
        </w:rPr>
      </w:pPr>
    </w:p>
    <w:p w:rsidR="000527A3" w:rsidRDefault="000527A3" w:rsidP="000527A3">
      <w:pPr>
        <w:tabs>
          <w:tab w:val="left" w:pos="1950"/>
        </w:tabs>
        <w:autoSpaceDE w:val="0"/>
        <w:autoSpaceDN w:val="0"/>
        <w:adjustRightInd w:val="0"/>
        <w:spacing w:after="0" w:line="240" w:lineRule="auto"/>
        <w:jc w:val="both"/>
        <w:outlineLvl w:val="0"/>
        <w:rPr>
          <w:rFonts w:ascii="Times New Roman" w:eastAsia="Calibri" w:hAnsi="Times New Roman" w:cs="Times New Roman"/>
          <w:color w:val="FF0000"/>
          <w:sz w:val="24"/>
          <w:szCs w:val="24"/>
        </w:rPr>
      </w:pPr>
    </w:p>
    <w:p w:rsidR="000527A3" w:rsidRDefault="000527A3" w:rsidP="000527A3">
      <w:pPr>
        <w:tabs>
          <w:tab w:val="left" w:pos="1950"/>
        </w:tabs>
        <w:autoSpaceDE w:val="0"/>
        <w:autoSpaceDN w:val="0"/>
        <w:adjustRightInd w:val="0"/>
        <w:spacing w:after="0" w:line="240" w:lineRule="auto"/>
        <w:jc w:val="both"/>
        <w:outlineLvl w:val="0"/>
        <w:rPr>
          <w:rFonts w:ascii="Times New Roman" w:eastAsia="Calibri" w:hAnsi="Times New Roman" w:cs="Times New Roman"/>
          <w:color w:val="FF0000"/>
          <w:sz w:val="24"/>
          <w:szCs w:val="24"/>
        </w:rPr>
      </w:pPr>
      <w:r>
        <w:rPr>
          <w:rFonts w:ascii="Times New Roman" w:eastAsia="Calibri" w:hAnsi="Times New Roman" w:cs="Times New Roman"/>
          <w:color w:val="FF0000"/>
          <w:sz w:val="24"/>
          <w:szCs w:val="24"/>
        </w:rPr>
        <w:t xml:space="preserve">           </w:t>
      </w:r>
    </w:p>
    <w:p w:rsidR="000527A3" w:rsidRDefault="000527A3" w:rsidP="000527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Domes priekšsēdētājs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spellStart"/>
      <w:r>
        <w:rPr>
          <w:rFonts w:ascii="Times New Roman" w:hAnsi="Times New Roman" w:cs="Times New Roman"/>
          <w:sz w:val="24"/>
          <w:szCs w:val="24"/>
        </w:rPr>
        <w:t>S.Maksimovs</w:t>
      </w:r>
      <w:proofErr w:type="spellEnd"/>
    </w:p>
    <w:p w:rsidR="000527A3" w:rsidRDefault="000527A3" w:rsidP="000527A3">
      <w:pPr>
        <w:jc w:val="center"/>
        <w:rPr>
          <w:rFonts w:ascii="Times New Roman" w:hAnsi="Times New Roman" w:cs="Times New Roman"/>
          <w:b/>
          <w:sz w:val="24"/>
          <w:szCs w:val="24"/>
        </w:rPr>
      </w:pPr>
    </w:p>
    <w:p w:rsidR="000527A3" w:rsidRDefault="000527A3" w:rsidP="000527A3">
      <w:pPr>
        <w:jc w:val="center"/>
        <w:rPr>
          <w:rFonts w:ascii="Times New Roman" w:hAnsi="Times New Roman" w:cs="Times New Roman"/>
          <w:b/>
          <w:sz w:val="24"/>
          <w:szCs w:val="24"/>
        </w:rPr>
      </w:pPr>
    </w:p>
    <w:p w:rsidR="000527A3" w:rsidRDefault="000527A3" w:rsidP="000527A3">
      <w:pPr>
        <w:spacing w:after="0" w:line="240" w:lineRule="auto"/>
        <w:ind w:firstLine="567"/>
        <w:jc w:val="both"/>
        <w:rPr>
          <w:rFonts w:ascii="Times New Roman" w:hAnsi="Times New Roman" w:cs="Times New Roman"/>
          <w:sz w:val="24"/>
          <w:szCs w:val="24"/>
        </w:rPr>
      </w:pPr>
    </w:p>
    <w:p w:rsidR="000527A3" w:rsidRDefault="000527A3" w:rsidP="000527A3">
      <w:pPr>
        <w:spacing w:after="0" w:line="240" w:lineRule="auto"/>
        <w:ind w:firstLine="567"/>
        <w:jc w:val="both"/>
        <w:rPr>
          <w:rFonts w:ascii="Times New Roman" w:hAnsi="Times New Roman" w:cs="Times New Roman"/>
          <w:color w:val="FF0000"/>
          <w:sz w:val="24"/>
          <w:szCs w:val="24"/>
        </w:rPr>
      </w:pPr>
    </w:p>
    <w:p w:rsidR="000527A3" w:rsidRDefault="000527A3" w:rsidP="000527A3">
      <w:pPr>
        <w:pStyle w:val="Sarakstarindkopa"/>
        <w:spacing w:after="0" w:line="240" w:lineRule="auto"/>
        <w:ind w:left="993"/>
        <w:jc w:val="both"/>
        <w:rPr>
          <w:rFonts w:ascii="Times New Roman" w:hAnsi="Times New Roman" w:cs="Times New Roman"/>
          <w:color w:val="FF0000"/>
          <w:sz w:val="24"/>
          <w:szCs w:val="24"/>
        </w:rPr>
      </w:pPr>
    </w:p>
    <w:p w:rsidR="000527A3" w:rsidRDefault="000527A3" w:rsidP="000527A3">
      <w:pPr>
        <w:jc w:val="center"/>
        <w:rPr>
          <w:rFonts w:ascii="Times New Roman" w:hAnsi="Times New Roman" w:cs="Times New Roman"/>
          <w:color w:val="FF0000"/>
          <w:sz w:val="24"/>
          <w:szCs w:val="24"/>
        </w:rPr>
      </w:pPr>
    </w:p>
    <w:p w:rsidR="00261F0A" w:rsidRDefault="00261F0A"/>
    <w:sectPr w:rsidR="00261F0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orbel">
    <w:panose1 w:val="020B0503020204020204"/>
    <w:charset w:val="BA"/>
    <w:family w:val="swiss"/>
    <w:pitch w:val="variable"/>
    <w:sig w:usb0="A00002EF" w:usb1="4000A44B" w:usb2="00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320141"/>
    <w:multiLevelType w:val="hybridMultilevel"/>
    <w:tmpl w:val="A36AA190"/>
    <w:lvl w:ilvl="0" w:tplc="04260001">
      <w:start w:val="1"/>
      <w:numFmt w:val="bullet"/>
      <w:lvlText w:val=""/>
      <w:lvlJc w:val="left"/>
      <w:pPr>
        <w:ind w:left="1350" w:hanging="360"/>
      </w:pPr>
      <w:rPr>
        <w:rFonts w:ascii="Symbol" w:hAnsi="Symbol" w:hint="default"/>
      </w:rPr>
    </w:lvl>
    <w:lvl w:ilvl="1" w:tplc="04260003">
      <w:start w:val="1"/>
      <w:numFmt w:val="bullet"/>
      <w:lvlText w:val="o"/>
      <w:lvlJc w:val="left"/>
      <w:pPr>
        <w:ind w:left="2070" w:hanging="360"/>
      </w:pPr>
      <w:rPr>
        <w:rFonts w:ascii="Courier New" w:hAnsi="Courier New" w:cs="Courier New" w:hint="default"/>
      </w:rPr>
    </w:lvl>
    <w:lvl w:ilvl="2" w:tplc="04260005">
      <w:start w:val="1"/>
      <w:numFmt w:val="bullet"/>
      <w:lvlText w:val=""/>
      <w:lvlJc w:val="left"/>
      <w:pPr>
        <w:ind w:left="2790" w:hanging="360"/>
      </w:pPr>
      <w:rPr>
        <w:rFonts w:ascii="Wingdings" w:hAnsi="Wingdings" w:hint="default"/>
      </w:rPr>
    </w:lvl>
    <w:lvl w:ilvl="3" w:tplc="04260001">
      <w:start w:val="1"/>
      <w:numFmt w:val="bullet"/>
      <w:lvlText w:val=""/>
      <w:lvlJc w:val="left"/>
      <w:pPr>
        <w:ind w:left="3510" w:hanging="360"/>
      </w:pPr>
      <w:rPr>
        <w:rFonts w:ascii="Symbol" w:hAnsi="Symbol" w:hint="default"/>
      </w:rPr>
    </w:lvl>
    <w:lvl w:ilvl="4" w:tplc="04260003">
      <w:start w:val="1"/>
      <w:numFmt w:val="bullet"/>
      <w:lvlText w:val="o"/>
      <w:lvlJc w:val="left"/>
      <w:pPr>
        <w:ind w:left="4230" w:hanging="360"/>
      </w:pPr>
      <w:rPr>
        <w:rFonts w:ascii="Courier New" w:hAnsi="Courier New" w:cs="Courier New" w:hint="default"/>
      </w:rPr>
    </w:lvl>
    <w:lvl w:ilvl="5" w:tplc="04260005">
      <w:start w:val="1"/>
      <w:numFmt w:val="bullet"/>
      <w:lvlText w:val=""/>
      <w:lvlJc w:val="left"/>
      <w:pPr>
        <w:ind w:left="4950" w:hanging="360"/>
      </w:pPr>
      <w:rPr>
        <w:rFonts w:ascii="Wingdings" w:hAnsi="Wingdings" w:hint="default"/>
      </w:rPr>
    </w:lvl>
    <w:lvl w:ilvl="6" w:tplc="04260001">
      <w:start w:val="1"/>
      <w:numFmt w:val="bullet"/>
      <w:lvlText w:val=""/>
      <w:lvlJc w:val="left"/>
      <w:pPr>
        <w:ind w:left="5670" w:hanging="360"/>
      </w:pPr>
      <w:rPr>
        <w:rFonts w:ascii="Symbol" w:hAnsi="Symbol" w:hint="default"/>
      </w:rPr>
    </w:lvl>
    <w:lvl w:ilvl="7" w:tplc="04260003">
      <w:start w:val="1"/>
      <w:numFmt w:val="bullet"/>
      <w:lvlText w:val="o"/>
      <w:lvlJc w:val="left"/>
      <w:pPr>
        <w:ind w:left="6390" w:hanging="360"/>
      </w:pPr>
      <w:rPr>
        <w:rFonts w:ascii="Courier New" w:hAnsi="Courier New" w:cs="Courier New" w:hint="default"/>
      </w:rPr>
    </w:lvl>
    <w:lvl w:ilvl="8" w:tplc="04260005">
      <w:start w:val="1"/>
      <w:numFmt w:val="bullet"/>
      <w:lvlText w:val=""/>
      <w:lvlJc w:val="left"/>
      <w:pPr>
        <w:ind w:left="7110" w:hanging="360"/>
      </w:pPr>
      <w:rPr>
        <w:rFonts w:ascii="Wingdings" w:hAnsi="Wingdings" w:hint="default"/>
      </w:rPr>
    </w:lvl>
  </w:abstractNum>
  <w:abstractNum w:abstractNumId="1" w15:restartNumberingAfterBreak="0">
    <w:nsid w:val="557D5FC1"/>
    <w:multiLevelType w:val="hybridMultilevel"/>
    <w:tmpl w:val="5710947E"/>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1080" w:hanging="360"/>
      </w:pPr>
      <w:rPr>
        <w:rFonts w:ascii="Courier New" w:hAnsi="Courier New" w:cs="Courier New" w:hint="default"/>
      </w:rPr>
    </w:lvl>
    <w:lvl w:ilvl="2" w:tplc="04260005">
      <w:start w:val="1"/>
      <w:numFmt w:val="bullet"/>
      <w:lvlText w:val=""/>
      <w:lvlJc w:val="left"/>
      <w:pPr>
        <w:ind w:left="1800" w:hanging="360"/>
      </w:pPr>
      <w:rPr>
        <w:rFonts w:ascii="Wingdings" w:hAnsi="Wingdings" w:hint="default"/>
      </w:rPr>
    </w:lvl>
    <w:lvl w:ilvl="3" w:tplc="04260001">
      <w:start w:val="1"/>
      <w:numFmt w:val="bullet"/>
      <w:lvlText w:val=""/>
      <w:lvlJc w:val="left"/>
      <w:pPr>
        <w:ind w:left="2520" w:hanging="360"/>
      </w:pPr>
      <w:rPr>
        <w:rFonts w:ascii="Symbol" w:hAnsi="Symbol" w:hint="default"/>
      </w:rPr>
    </w:lvl>
    <w:lvl w:ilvl="4" w:tplc="04260003">
      <w:start w:val="1"/>
      <w:numFmt w:val="bullet"/>
      <w:lvlText w:val="o"/>
      <w:lvlJc w:val="left"/>
      <w:pPr>
        <w:ind w:left="3240" w:hanging="360"/>
      </w:pPr>
      <w:rPr>
        <w:rFonts w:ascii="Courier New" w:hAnsi="Courier New" w:cs="Courier New" w:hint="default"/>
      </w:rPr>
    </w:lvl>
    <w:lvl w:ilvl="5" w:tplc="04260005">
      <w:start w:val="1"/>
      <w:numFmt w:val="bullet"/>
      <w:lvlText w:val=""/>
      <w:lvlJc w:val="left"/>
      <w:pPr>
        <w:ind w:left="3960" w:hanging="360"/>
      </w:pPr>
      <w:rPr>
        <w:rFonts w:ascii="Wingdings" w:hAnsi="Wingdings" w:hint="default"/>
      </w:rPr>
    </w:lvl>
    <w:lvl w:ilvl="6" w:tplc="04260001">
      <w:start w:val="1"/>
      <w:numFmt w:val="bullet"/>
      <w:lvlText w:val=""/>
      <w:lvlJc w:val="left"/>
      <w:pPr>
        <w:ind w:left="4680" w:hanging="360"/>
      </w:pPr>
      <w:rPr>
        <w:rFonts w:ascii="Symbol" w:hAnsi="Symbol" w:hint="default"/>
      </w:rPr>
    </w:lvl>
    <w:lvl w:ilvl="7" w:tplc="04260003">
      <w:start w:val="1"/>
      <w:numFmt w:val="bullet"/>
      <w:lvlText w:val="o"/>
      <w:lvlJc w:val="left"/>
      <w:pPr>
        <w:ind w:left="5400" w:hanging="360"/>
      </w:pPr>
      <w:rPr>
        <w:rFonts w:ascii="Courier New" w:hAnsi="Courier New" w:cs="Courier New" w:hint="default"/>
      </w:rPr>
    </w:lvl>
    <w:lvl w:ilvl="8" w:tplc="04260005">
      <w:start w:val="1"/>
      <w:numFmt w:val="bullet"/>
      <w:lvlText w:val=""/>
      <w:lvlJc w:val="left"/>
      <w:pPr>
        <w:ind w:left="6120" w:hanging="360"/>
      </w:pPr>
      <w:rPr>
        <w:rFonts w:ascii="Wingdings" w:hAnsi="Wingdings" w:hint="default"/>
      </w:rPr>
    </w:lvl>
  </w:abstractNum>
  <w:abstractNum w:abstractNumId="2" w15:restartNumberingAfterBreak="0">
    <w:nsid w:val="5D5310FB"/>
    <w:multiLevelType w:val="hybridMultilevel"/>
    <w:tmpl w:val="2A545CDC"/>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7A3"/>
    <w:rsid w:val="000527A3"/>
    <w:rsid w:val="00261F0A"/>
    <w:rsid w:val="00572ED4"/>
    <w:rsid w:val="00DB0AF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0C9B81-8C98-4B53-8988-4E3D80F0E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527A3"/>
    <w:pPr>
      <w:spacing w:after="200" w:line="276" w:lineRule="auto"/>
    </w:p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ezatstarpm">
    <w:name w:val="No Spacing"/>
    <w:uiPriority w:val="1"/>
    <w:qFormat/>
    <w:rsid w:val="000527A3"/>
    <w:pPr>
      <w:spacing w:after="0" w:line="240" w:lineRule="auto"/>
    </w:pPr>
    <w:rPr>
      <w:rFonts w:ascii="Calibri" w:eastAsia="Times New Roman" w:hAnsi="Calibri" w:cs="Times New Roman"/>
      <w:lang w:eastAsia="lv-LV"/>
    </w:rPr>
  </w:style>
  <w:style w:type="paragraph" w:styleId="Sarakstarindkopa">
    <w:name w:val="List Paragraph"/>
    <w:basedOn w:val="Parasts"/>
    <w:uiPriority w:val="34"/>
    <w:qFormat/>
    <w:rsid w:val="000527A3"/>
    <w:pPr>
      <w:ind w:left="720"/>
      <w:contextualSpacing/>
    </w:pPr>
  </w:style>
  <w:style w:type="paragraph" w:customStyle="1" w:styleId="Default">
    <w:name w:val="Default"/>
    <w:rsid w:val="000527A3"/>
    <w:pPr>
      <w:autoSpaceDE w:val="0"/>
      <w:autoSpaceDN w:val="0"/>
      <w:adjustRightInd w:val="0"/>
      <w:spacing w:after="0" w:line="240" w:lineRule="auto"/>
    </w:pPr>
    <w:rPr>
      <w:rFonts w:ascii="Corbel" w:eastAsia="Calibri" w:hAnsi="Corbel" w:cs="Corbel"/>
      <w:color w:val="000000"/>
      <w:sz w:val="24"/>
      <w:szCs w:val="24"/>
      <w:lang w:val="en-US"/>
    </w:rPr>
  </w:style>
  <w:style w:type="table" w:styleId="Reatabula">
    <w:name w:val="Table Grid"/>
    <w:basedOn w:val="Parastatabula"/>
    <w:uiPriority w:val="59"/>
    <w:rsid w:val="000527A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Parastatabula"/>
    <w:uiPriority w:val="59"/>
    <w:rsid w:val="000527A3"/>
    <w:pPr>
      <w:spacing w:after="0" w:line="240" w:lineRule="auto"/>
    </w:pPr>
    <w:rPr>
      <w:lang w:val="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Parastatabula"/>
    <w:uiPriority w:val="59"/>
    <w:rsid w:val="000527A3"/>
    <w:pPr>
      <w:spacing w:after="0" w:line="240" w:lineRule="auto"/>
    </w:pPr>
    <w:rPr>
      <w:lang w:val="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Parastatabula"/>
    <w:uiPriority w:val="59"/>
    <w:rsid w:val="000527A3"/>
    <w:pPr>
      <w:spacing w:after="0" w:line="240" w:lineRule="auto"/>
    </w:pPr>
    <w:rPr>
      <w:lang w:val="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6931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4.xml"/><Relationship Id="rId3" Type="http://schemas.openxmlformats.org/officeDocument/2006/relationships/settings" Target="settings.xml"/><Relationship Id="rId7" Type="http://schemas.openxmlformats.org/officeDocument/2006/relationships/chart" Target="charts/chart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11" Type="http://schemas.openxmlformats.org/officeDocument/2006/relationships/theme" Target="theme/theme1.xml"/><Relationship Id="rId5" Type="http://schemas.openxmlformats.org/officeDocument/2006/relationships/chart" Target="charts/chart1.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hart" Target="charts/chart5.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'iedzīvotāji (2)'!$B$17:$F$17</c:f>
              <c:strCache>
                <c:ptCount val="5"/>
                <c:pt idx="0">
                  <c:v>2016.gads</c:v>
                </c:pt>
                <c:pt idx="1">
                  <c:v>2017.gads</c:v>
                </c:pt>
                <c:pt idx="2">
                  <c:v>2018.gads</c:v>
                </c:pt>
                <c:pt idx="3">
                  <c:v>2019.gads</c:v>
                </c:pt>
                <c:pt idx="4">
                  <c:v>2020.gads</c:v>
                </c:pt>
              </c:strCache>
            </c:strRef>
          </c:cat>
          <c:val>
            <c:numRef>
              <c:f>'iedzīvotāji (2)'!$B$18:$F$18</c:f>
              <c:numCache>
                <c:formatCode>General</c:formatCode>
                <c:ptCount val="5"/>
                <c:pt idx="0">
                  <c:v>5498</c:v>
                </c:pt>
                <c:pt idx="1">
                  <c:v>5389</c:v>
                </c:pt>
                <c:pt idx="2">
                  <c:v>5158</c:v>
                </c:pt>
                <c:pt idx="3">
                  <c:v>4996</c:v>
                </c:pt>
                <c:pt idx="4">
                  <c:v>4908</c:v>
                </c:pt>
              </c:numCache>
            </c:numRef>
          </c:val>
        </c:ser>
        <c:dLbls>
          <c:showLegendKey val="0"/>
          <c:showVal val="0"/>
          <c:showCatName val="0"/>
          <c:showSerName val="0"/>
          <c:showPercent val="0"/>
          <c:showBubbleSize val="0"/>
        </c:dLbls>
        <c:gapWidth val="219"/>
        <c:overlap val="-27"/>
        <c:axId val="446363784"/>
        <c:axId val="446369272"/>
      </c:barChart>
      <c:catAx>
        <c:axId val="4463637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446369272"/>
        <c:crosses val="autoZero"/>
        <c:auto val="1"/>
        <c:lblAlgn val="ctr"/>
        <c:lblOffset val="100"/>
        <c:noMultiLvlLbl val="0"/>
      </c:catAx>
      <c:valAx>
        <c:axId val="446369272"/>
        <c:scaling>
          <c:orientation val="minMax"/>
        </c:scaling>
        <c:delete val="1"/>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one"/>
        <c:crossAx val="44636378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dLbl>
              <c:idx val="0"/>
              <c:tx>
                <c:rich>
                  <a:bodyPr/>
                  <a:lstStyle/>
                  <a:p>
                    <a:fld id="{ABF302D7-7B9F-463F-BE5C-818A1C22E34B}" type="VALUE">
                      <a:rPr lang="en-US"/>
                      <a:pPr/>
                      <a:t>[VĒRTĪBA]</a:t>
                    </a:fld>
                    <a:r>
                      <a:rPr lang="en-US"/>
                      <a:t>%</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Lst>
            </c:dLbl>
            <c:dLbl>
              <c:idx val="1"/>
              <c:tx>
                <c:rich>
                  <a:bodyPr/>
                  <a:lstStyle/>
                  <a:p>
                    <a:fld id="{0D1E1901-F415-461E-BF89-5345A9C569F9}" type="VALUE">
                      <a:rPr lang="en-US"/>
                      <a:pPr/>
                      <a:t>[VĒRTĪBA]</a:t>
                    </a:fld>
                    <a:r>
                      <a:rPr lang="en-US"/>
                      <a:t>%</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Lst>
            </c:dLbl>
            <c:dLbl>
              <c:idx val="2"/>
              <c:tx>
                <c:rich>
                  <a:bodyPr/>
                  <a:lstStyle/>
                  <a:p>
                    <a:fld id="{703BEE6D-F9EC-42FE-8F81-F39639094E05}" type="VALUE">
                      <a:rPr lang="en-US"/>
                      <a:pPr/>
                      <a:t>[VĒRTĪBA]</a:t>
                    </a:fld>
                    <a:r>
                      <a:rPr lang="en-US"/>
                      <a:t>%</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Lst>
            </c:dLbl>
            <c:dLbl>
              <c:idx val="3"/>
              <c:tx>
                <c:rich>
                  <a:bodyPr/>
                  <a:lstStyle/>
                  <a:p>
                    <a:fld id="{F42925AC-E92D-4FA1-8034-67B3ACF1D840}" type="VALUE">
                      <a:rPr lang="en-US"/>
                      <a:pPr/>
                      <a:t>[VĒRTĪBA]</a:t>
                    </a:fld>
                    <a:r>
                      <a:rPr lang="en-US"/>
                      <a:t>%</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Bezdarbs!$A$3:$D$3</c:f>
              <c:strCache>
                <c:ptCount val="4"/>
                <c:pt idx="0">
                  <c:v>2016.gads</c:v>
                </c:pt>
                <c:pt idx="1">
                  <c:v>2017.gads</c:v>
                </c:pt>
                <c:pt idx="2">
                  <c:v>2018.gads</c:v>
                </c:pt>
                <c:pt idx="3">
                  <c:v>2019.gads</c:v>
                </c:pt>
              </c:strCache>
            </c:strRef>
          </c:cat>
          <c:val>
            <c:numRef>
              <c:f>Bezdarbs!$A$4:$D$4</c:f>
              <c:numCache>
                <c:formatCode>General</c:formatCode>
                <c:ptCount val="4"/>
                <c:pt idx="0">
                  <c:v>14.7</c:v>
                </c:pt>
                <c:pt idx="1">
                  <c:v>12.4</c:v>
                </c:pt>
                <c:pt idx="2">
                  <c:v>13.1</c:v>
                </c:pt>
                <c:pt idx="3">
                  <c:v>10.3</c:v>
                </c:pt>
              </c:numCache>
            </c:numRef>
          </c:val>
        </c:ser>
        <c:dLbls>
          <c:showLegendKey val="0"/>
          <c:showVal val="1"/>
          <c:showCatName val="0"/>
          <c:showSerName val="0"/>
          <c:showPercent val="0"/>
          <c:showBubbleSize val="0"/>
        </c:dLbls>
        <c:gapWidth val="219"/>
        <c:overlap val="-27"/>
        <c:axId val="446368096"/>
        <c:axId val="446368488"/>
      </c:barChart>
      <c:catAx>
        <c:axId val="44636809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446368488"/>
        <c:crosses val="autoZero"/>
        <c:auto val="1"/>
        <c:lblAlgn val="ctr"/>
        <c:lblOffset val="100"/>
        <c:noMultiLvlLbl val="0"/>
      </c:catAx>
      <c:valAx>
        <c:axId val="446368488"/>
        <c:scaling>
          <c:orientation val="minMax"/>
        </c:scaling>
        <c:delete val="1"/>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one"/>
        <c:crossAx val="4463680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cap="all" baseline="0">
                    <a:solidFill>
                      <a:schemeClr val="tx1">
                        <a:lumMod val="75000"/>
                        <a:lumOff val="25000"/>
                      </a:schemeClr>
                    </a:solidFill>
                    <a:latin typeface="+mn-lt"/>
                    <a:ea typeface="+mn-ea"/>
                    <a:cs typeface="+mn-cs"/>
                  </a:defRPr>
                </a:pPr>
                <a:endParaRPr lang="lv-LV"/>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Sheet3!$E$1:$L$1</c:f>
              <c:strCache>
                <c:ptCount val="8"/>
                <c:pt idx="0">
                  <c:v>SIA </c:v>
                </c:pt>
                <c:pt idx="1">
                  <c:v>Z/S</c:v>
                </c:pt>
                <c:pt idx="2">
                  <c:v>Biedrības</c:v>
                </c:pt>
                <c:pt idx="3">
                  <c:v>IK</c:v>
                </c:pt>
                <c:pt idx="4">
                  <c:v>IU</c:v>
                </c:pt>
                <c:pt idx="5">
                  <c:v>Draudze</c:v>
                </c:pt>
                <c:pt idx="6">
                  <c:v>Kooperatīvā sabiedrība</c:v>
                </c:pt>
                <c:pt idx="7">
                  <c:v>Ārvalstu komersanta filiāle</c:v>
                </c:pt>
              </c:strCache>
            </c:strRef>
          </c:cat>
          <c:val>
            <c:numRef>
              <c:f>Sheet3!$E$2:$L$2</c:f>
              <c:numCache>
                <c:formatCode>General</c:formatCode>
                <c:ptCount val="8"/>
                <c:pt idx="0">
                  <c:v>70</c:v>
                </c:pt>
                <c:pt idx="1">
                  <c:v>140</c:v>
                </c:pt>
                <c:pt idx="2">
                  <c:v>46</c:v>
                </c:pt>
                <c:pt idx="3">
                  <c:v>8</c:v>
                </c:pt>
                <c:pt idx="4">
                  <c:v>22</c:v>
                </c:pt>
                <c:pt idx="5">
                  <c:v>5</c:v>
                </c:pt>
                <c:pt idx="6">
                  <c:v>3</c:v>
                </c:pt>
                <c:pt idx="7">
                  <c:v>1</c:v>
                </c:pt>
              </c:numCache>
            </c:numRef>
          </c:val>
        </c:ser>
        <c:dLbls>
          <c:showLegendKey val="0"/>
          <c:showVal val="1"/>
          <c:showCatName val="0"/>
          <c:showSerName val="0"/>
          <c:showPercent val="0"/>
          <c:showBubbleSize val="0"/>
        </c:dLbls>
        <c:gapWidth val="219"/>
        <c:overlap val="-27"/>
        <c:axId val="446366136"/>
        <c:axId val="446363000"/>
      </c:barChart>
      <c:catAx>
        <c:axId val="446366136"/>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10" b="1" i="0" u="none" strike="noStrike" kern="1200" baseline="0">
                <a:solidFill>
                  <a:schemeClr val="tx1">
                    <a:lumMod val="65000"/>
                    <a:lumOff val="35000"/>
                  </a:schemeClr>
                </a:solidFill>
                <a:latin typeface="Times New Roman" panose="02020603050405020304" pitchFamily="18" charset="0"/>
                <a:ea typeface="+mn-ea"/>
                <a:cs typeface="+mn-cs"/>
              </a:defRPr>
            </a:pPr>
            <a:endParaRPr lang="lv-LV"/>
          </a:p>
        </c:txPr>
        <c:crossAx val="446363000"/>
        <c:crosses val="autoZero"/>
        <c:auto val="1"/>
        <c:lblAlgn val="ctr"/>
        <c:lblOffset val="100"/>
        <c:noMultiLvlLbl val="0"/>
      </c:catAx>
      <c:valAx>
        <c:axId val="446363000"/>
        <c:scaling>
          <c:orientation val="minMax"/>
        </c:scaling>
        <c:delete val="0"/>
        <c:axPos val="l"/>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44636613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343637876755322"/>
          <c:y val="0.17614781638517299"/>
          <c:w val="0.70304015287866128"/>
          <c:h val="0.67611633630694901"/>
        </c:manualLayout>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dPt>
          <c:dPt>
            <c:idx val="1"/>
            <c:bubble3D val="0"/>
            <c:spPr>
              <a:solidFill>
                <a:schemeClr val="accent2"/>
              </a:solidFill>
              <a:ln w="25400">
                <a:solidFill>
                  <a:schemeClr val="lt1"/>
                </a:solidFill>
              </a:ln>
              <a:effectLst/>
              <a:sp3d contourW="25400">
                <a:contourClr>
                  <a:schemeClr val="lt1"/>
                </a:contourClr>
              </a:sp3d>
            </c:spPr>
          </c:dPt>
          <c:dPt>
            <c:idx val="2"/>
            <c:bubble3D val="0"/>
            <c:spPr>
              <a:solidFill>
                <a:schemeClr val="accent3"/>
              </a:solidFill>
              <a:ln w="25400">
                <a:solidFill>
                  <a:schemeClr val="lt1"/>
                </a:solidFill>
              </a:ln>
              <a:effectLst/>
              <a:sp3d contourW="25400">
                <a:contourClr>
                  <a:schemeClr val="lt1"/>
                </a:contourClr>
              </a:sp3d>
            </c:spPr>
          </c:dPt>
          <c:dPt>
            <c:idx val="3"/>
            <c:bubble3D val="0"/>
            <c:spPr>
              <a:solidFill>
                <a:schemeClr val="accent4"/>
              </a:solidFill>
              <a:ln w="25400">
                <a:solidFill>
                  <a:schemeClr val="lt1"/>
                </a:solidFill>
              </a:ln>
              <a:effectLst/>
              <a:sp3d contourW="25400">
                <a:contourClr>
                  <a:schemeClr val="lt1"/>
                </a:contourClr>
              </a:sp3d>
            </c:spPr>
          </c:dPt>
          <c:dPt>
            <c:idx val="4"/>
            <c:bubble3D val="0"/>
            <c:spPr>
              <a:solidFill>
                <a:schemeClr val="accent5"/>
              </a:solidFill>
              <a:ln w="25400">
                <a:solidFill>
                  <a:schemeClr val="lt1"/>
                </a:solidFill>
              </a:ln>
              <a:effectLst/>
              <a:sp3d contourW="25400">
                <a:contourClr>
                  <a:schemeClr val="lt1"/>
                </a:contourClr>
              </a:sp3d>
            </c:spPr>
          </c:dPt>
          <c:dPt>
            <c:idx val="5"/>
            <c:bubble3D val="0"/>
            <c:spPr>
              <a:solidFill>
                <a:schemeClr val="accent6"/>
              </a:solidFill>
              <a:ln w="25400">
                <a:solidFill>
                  <a:schemeClr val="lt1"/>
                </a:solidFill>
              </a:ln>
              <a:effectLst/>
              <a:sp3d contourW="25400">
                <a:contourClr>
                  <a:schemeClr val="lt1"/>
                </a:contourClr>
              </a:sp3d>
            </c:spPr>
          </c:dPt>
          <c:dLbls>
            <c:dLbl>
              <c:idx val="0"/>
              <c:layout>
                <c:manualLayout>
                  <c:x val="4.3509366492754761E-2"/>
                  <c:y val="-2.3966786671576198E-2"/>
                </c:manualLayout>
              </c:layout>
              <c:showLegendKey val="0"/>
              <c:showVal val="1"/>
              <c:showCatName val="1"/>
              <c:showSerName val="0"/>
              <c:showPercent val="1"/>
              <c:showBubbleSize val="0"/>
              <c:extLst>
                <c:ext xmlns:c15="http://schemas.microsoft.com/office/drawing/2012/chart" uri="{CE6537A1-D6FC-4f65-9D91-7224C49458BB}"/>
              </c:extLst>
            </c:dLbl>
            <c:dLbl>
              <c:idx val="1"/>
              <c:layout>
                <c:manualLayout>
                  <c:x val="4.069290998166622E-2"/>
                  <c:y val="-0.10188870881502914"/>
                </c:manualLayout>
              </c:layout>
              <c:showLegendKey val="0"/>
              <c:showVal val="1"/>
              <c:showCatName val="1"/>
              <c:showSerName val="0"/>
              <c:showPercent val="1"/>
              <c:showBubbleSize val="0"/>
              <c:extLst>
                <c:ext xmlns:c15="http://schemas.microsoft.com/office/drawing/2012/chart" uri="{CE6537A1-D6FC-4f65-9D91-7224C49458BB}"/>
              </c:extLst>
            </c:dLbl>
            <c:dLbl>
              <c:idx val="2"/>
              <c:layout>
                <c:manualLayout>
                  <c:x val="-7.9276713260201123E-2"/>
                  <c:y val="0.1963541914685471"/>
                </c:manualLayout>
              </c:layout>
              <c:showLegendKey val="0"/>
              <c:showVal val="1"/>
              <c:showCatName val="1"/>
              <c:showSerName val="0"/>
              <c:showPercent val="1"/>
              <c:showBubbleSize val="0"/>
              <c:extLst>
                <c:ext xmlns:c15="http://schemas.microsoft.com/office/drawing/2012/chart" uri="{CE6537A1-D6FC-4f65-9D91-7224C49458BB}"/>
              </c:extLst>
            </c:dLbl>
            <c:dLbl>
              <c:idx val="3"/>
              <c:layout>
                <c:manualLayout>
                  <c:x val="-7.5968847383493354E-2"/>
                  <c:y val="-7.8832774042922035E-2"/>
                </c:manualLayout>
              </c:layout>
              <c:showLegendKey val="0"/>
              <c:showVal val="1"/>
              <c:showCatName val="1"/>
              <c:showSerName val="0"/>
              <c:showPercent val="1"/>
              <c:showBubbleSize val="0"/>
              <c:extLst>
                <c:ext xmlns:c15="http://schemas.microsoft.com/office/drawing/2012/chart" uri="{CE6537A1-D6FC-4f65-9D91-7224C49458BB}"/>
              </c:extLst>
            </c:dLbl>
            <c:dLbl>
              <c:idx val="4"/>
              <c:layout>
                <c:manualLayout>
                  <c:x val="-7.8036464697130603E-2"/>
                  <c:y val="-1.6556603577607021E-2"/>
                </c:manualLayout>
              </c:layout>
              <c:showLegendKey val="0"/>
              <c:showVal val="1"/>
              <c:showCatName val="1"/>
              <c:showSerName val="0"/>
              <c:showPercent val="1"/>
              <c:showBubbleSize val="0"/>
              <c:extLst>
                <c:ext xmlns:c15="http://schemas.microsoft.com/office/drawing/2012/chart" uri="{CE6537A1-D6FC-4f65-9D91-7224C49458BB}">
                  <c15:layout>
                    <c:manualLayout>
                      <c:w val="0.21679818149409952"/>
                      <c:h val="0.18013188395004989"/>
                    </c:manualLayout>
                  </c15:layout>
                </c:ext>
              </c:extLst>
            </c:dLbl>
            <c:dLbl>
              <c:idx val="5"/>
              <c:layout>
                <c:manualLayout>
                  <c:x val="0.22370366987198273"/>
                  <c:y val="-3.7305970061007464E-2"/>
                </c:manualLayout>
              </c:layout>
              <c:showLegendKey val="0"/>
              <c:showVal val="1"/>
              <c:showCatName val="1"/>
              <c:showSerName val="0"/>
              <c:showPercent val="1"/>
              <c:showBubbleSize val="0"/>
              <c:extLst>
                <c:ext xmlns:c15="http://schemas.microsoft.com/office/drawing/2012/chart" uri="{CE6537A1-D6FC-4f65-9D91-7224C49458BB}">
                  <c15:layout>
                    <c:manualLayout>
                      <c:w val="0.24250248270192334"/>
                      <c:h val="0.13814321230388468"/>
                    </c:manualLayout>
                  </c15:layout>
                </c:ext>
              </c:extLst>
            </c:dLbl>
            <c:numFmt formatCode="0.00%" sourceLinked="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v-LV"/>
              </a:p>
            </c:txPr>
            <c:showLegendKey val="0"/>
            <c:showVal val="1"/>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IEŅĒMUMI!$A$2:$A$7</c:f>
              <c:strCache>
                <c:ptCount val="6"/>
                <c:pt idx="0">
                  <c:v>Ienākuma nodokļi</c:v>
                </c:pt>
                <c:pt idx="1">
                  <c:v>Īpašuma nodokļi</c:v>
                </c:pt>
                <c:pt idx="2">
                  <c:v>Pārējie ieņēmumi</c:v>
                </c:pt>
                <c:pt idx="3">
                  <c:v>Valsts budžeta transferti</c:v>
                </c:pt>
                <c:pt idx="4">
                  <c:v>Pašvaldību budžeta transferti</c:v>
                </c:pt>
                <c:pt idx="5">
                  <c:v>Budžeta iestāžu ieņēmumi</c:v>
                </c:pt>
              </c:strCache>
            </c:strRef>
          </c:cat>
          <c:val>
            <c:numRef>
              <c:f>IEŅĒMUMI!$B$2:$B$7</c:f>
              <c:numCache>
                <c:formatCode>[$€-426]\ #,##0</c:formatCode>
                <c:ptCount val="6"/>
                <c:pt idx="0">
                  <c:v>1731534</c:v>
                </c:pt>
                <c:pt idx="1">
                  <c:v>262469</c:v>
                </c:pt>
                <c:pt idx="2">
                  <c:v>91730</c:v>
                </c:pt>
                <c:pt idx="3">
                  <c:v>3971192</c:v>
                </c:pt>
                <c:pt idx="4">
                  <c:v>125261</c:v>
                </c:pt>
                <c:pt idx="5">
                  <c:v>623324</c:v>
                </c:pt>
              </c:numCache>
            </c:numRef>
          </c:val>
        </c:ser>
        <c:dLbls>
          <c:showLegendKey val="0"/>
          <c:showVal val="0"/>
          <c:showCatName val="0"/>
          <c:showSerName val="0"/>
          <c:showPercent val="0"/>
          <c:showBubbleSize val="0"/>
          <c:showLeaderLines val="1"/>
        </c:dLbls>
      </c:pie3DChart>
      <c:spPr>
        <a:noFill/>
        <a:ln>
          <a:noFill/>
        </a:ln>
        <a:effectLst/>
      </c:spPr>
    </c:plotArea>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21741899679470403"/>
          <c:y val="0.19443377611449775"/>
          <c:w val="0.6016163602316329"/>
          <c:h val="0.57914844480933658"/>
        </c:manualLayout>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dPt>
          <c:dPt>
            <c:idx val="1"/>
            <c:bubble3D val="0"/>
            <c:spPr>
              <a:solidFill>
                <a:schemeClr val="accent2"/>
              </a:solidFill>
              <a:ln w="25400">
                <a:solidFill>
                  <a:schemeClr val="lt1"/>
                </a:solidFill>
              </a:ln>
              <a:effectLst/>
              <a:sp3d contourW="25400">
                <a:contourClr>
                  <a:schemeClr val="lt1"/>
                </a:contourClr>
              </a:sp3d>
            </c:spPr>
          </c:dPt>
          <c:dPt>
            <c:idx val="2"/>
            <c:bubble3D val="0"/>
            <c:spPr>
              <a:solidFill>
                <a:schemeClr val="accent3"/>
              </a:solidFill>
              <a:ln w="25400">
                <a:solidFill>
                  <a:schemeClr val="lt1"/>
                </a:solidFill>
              </a:ln>
              <a:effectLst/>
              <a:sp3d contourW="25400">
                <a:contourClr>
                  <a:schemeClr val="lt1"/>
                </a:contourClr>
              </a:sp3d>
            </c:spPr>
          </c:dPt>
          <c:dPt>
            <c:idx val="3"/>
            <c:bubble3D val="0"/>
            <c:spPr>
              <a:solidFill>
                <a:schemeClr val="accent4"/>
              </a:solidFill>
              <a:ln w="25400">
                <a:solidFill>
                  <a:schemeClr val="lt1"/>
                </a:solidFill>
              </a:ln>
              <a:effectLst/>
              <a:sp3d contourW="25400">
                <a:contourClr>
                  <a:schemeClr val="lt1"/>
                </a:contourClr>
              </a:sp3d>
            </c:spPr>
          </c:dPt>
          <c:dPt>
            <c:idx val="4"/>
            <c:bubble3D val="0"/>
            <c:spPr>
              <a:solidFill>
                <a:schemeClr val="accent5"/>
              </a:solidFill>
              <a:ln w="25400">
                <a:solidFill>
                  <a:schemeClr val="lt1"/>
                </a:solidFill>
              </a:ln>
              <a:effectLst/>
              <a:sp3d contourW="25400">
                <a:contourClr>
                  <a:schemeClr val="lt1"/>
                </a:contourClr>
              </a:sp3d>
            </c:spPr>
          </c:dPt>
          <c:dPt>
            <c:idx val="5"/>
            <c:bubble3D val="0"/>
            <c:spPr>
              <a:solidFill>
                <a:schemeClr val="accent6"/>
              </a:solidFill>
              <a:ln w="25400">
                <a:solidFill>
                  <a:schemeClr val="lt1"/>
                </a:solidFill>
              </a:ln>
              <a:effectLst/>
              <a:sp3d contourW="25400">
                <a:contourClr>
                  <a:schemeClr val="lt1"/>
                </a:contourClr>
              </a:sp3d>
            </c:spPr>
          </c:dPt>
          <c:dPt>
            <c:idx val="6"/>
            <c:bubble3D val="0"/>
            <c:spPr>
              <a:solidFill>
                <a:schemeClr val="accent2"/>
              </a:solidFill>
              <a:ln w="25400">
                <a:solidFill>
                  <a:schemeClr val="lt1"/>
                </a:solidFill>
              </a:ln>
              <a:effectLst/>
              <a:sp3d contourW="25400">
                <a:contourClr>
                  <a:schemeClr val="lt1"/>
                </a:contourClr>
              </a:sp3d>
            </c:spPr>
          </c:dPt>
          <c:dPt>
            <c:idx val="7"/>
            <c:bubble3D val="0"/>
            <c:spPr>
              <a:solidFill>
                <a:schemeClr val="accent4"/>
              </a:solidFill>
              <a:ln w="25400">
                <a:solidFill>
                  <a:schemeClr val="lt1"/>
                </a:solidFill>
              </a:ln>
              <a:effectLst/>
              <a:sp3d contourW="25400">
                <a:contourClr>
                  <a:schemeClr val="lt1"/>
                </a:contourClr>
              </a:sp3d>
            </c:spPr>
          </c:dPt>
          <c:dPt>
            <c:idx val="8"/>
            <c:bubble3D val="0"/>
            <c:spPr>
              <a:solidFill>
                <a:schemeClr val="accent3">
                  <a:lumMod val="60000"/>
                </a:schemeClr>
              </a:solidFill>
              <a:ln w="25400">
                <a:solidFill>
                  <a:schemeClr val="lt1"/>
                </a:solidFill>
              </a:ln>
              <a:effectLst/>
              <a:sp3d contourW="25400">
                <a:contourClr>
                  <a:schemeClr val="lt1"/>
                </a:contourClr>
              </a:sp3d>
            </c:spPr>
          </c:dPt>
          <c:dLbls>
            <c:dLbl>
              <c:idx val="0"/>
              <c:layout>
                <c:manualLayout>
                  <c:x val="-0.13566862461225343"/>
                  <c:y val="-3.1984002961668312E-2"/>
                </c:manualLayout>
              </c:layout>
              <c:dLblPos val="bestFit"/>
              <c:showLegendKey val="1"/>
              <c:showVal val="1"/>
              <c:showCatName val="1"/>
              <c:showSerName val="0"/>
              <c:showPercent val="1"/>
              <c:showBubbleSize val="0"/>
              <c:extLst>
                <c:ext xmlns:c15="http://schemas.microsoft.com/office/drawing/2012/chart" uri="{CE6537A1-D6FC-4f65-9D91-7224C49458BB}"/>
              </c:extLst>
            </c:dLbl>
            <c:dLbl>
              <c:idx val="3"/>
              <c:layout>
                <c:manualLayout>
                  <c:x val="6.6722274399468899E-3"/>
                  <c:y val="-0.11994001110625614"/>
                </c:manualLayout>
              </c:layout>
              <c:dLblPos val="bestFit"/>
              <c:showLegendKey val="1"/>
              <c:showVal val="1"/>
              <c:showCatName val="1"/>
              <c:showSerName val="0"/>
              <c:showPercent val="1"/>
              <c:showBubbleSize val="0"/>
              <c:extLst>
                <c:ext xmlns:c15="http://schemas.microsoft.com/office/drawing/2012/chart" uri="{CE6537A1-D6FC-4f65-9D91-7224C49458BB}"/>
              </c:extLst>
            </c:dLbl>
            <c:dLbl>
              <c:idx val="4"/>
              <c:layout>
                <c:manualLayout>
                  <c:x val="4.0033364639681178E-2"/>
                  <c:y val="-6.7966006293545184E-2"/>
                </c:manualLayout>
              </c:layout>
              <c:dLblPos val="bestFit"/>
              <c:showLegendKey val="1"/>
              <c:showVal val="1"/>
              <c:showCatName val="1"/>
              <c:showSerName val="0"/>
              <c:showPercent val="1"/>
              <c:showBubbleSize val="0"/>
              <c:extLst>
                <c:ext xmlns:c15="http://schemas.microsoft.com/office/drawing/2012/chart" uri="{CE6537A1-D6FC-4f65-9D91-7224C49458BB}"/>
              </c:extLst>
            </c:dLbl>
            <c:dLbl>
              <c:idx val="5"/>
              <c:layout>
                <c:manualLayout>
                  <c:x val="-1.5139228107126472E-2"/>
                  <c:y val="6.7892493454284567E-2"/>
                </c:manualLayout>
              </c:layout>
              <c:dLblPos val="bestFit"/>
              <c:showLegendKey val="1"/>
              <c:showVal val="1"/>
              <c:showCatName val="1"/>
              <c:showSerName val="0"/>
              <c:showPercent val="1"/>
              <c:showBubbleSize val="0"/>
              <c:extLst>
                <c:ext xmlns:c15="http://schemas.microsoft.com/office/drawing/2012/chart" uri="{CE6537A1-D6FC-4f65-9D91-7224C49458BB}"/>
              </c:extLst>
            </c:dLbl>
            <c:dLbl>
              <c:idx val="6"/>
              <c:layout>
                <c:manualLayout>
                  <c:x val="-4.5417684321379437E-2"/>
                  <c:y val="3.7718051919046966E-2"/>
                </c:manualLayout>
              </c:layout>
              <c:tx>
                <c:rich>
                  <a:bodyPr/>
                  <a:lstStyle/>
                  <a:p>
                    <a:fld id="{CB15B76F-ACFE-4D5A-AB01-5F45CB6E3340}" type="CATEGORYNAME">
                      <a:rPr lang="lv-LV"/>
                      <a:pPr/>
                      <a:t>[KATEGORIJAS NOSAUKUMS]</a:t>
                    </a:fld>
                    <a:r>
                      <a:rPr lang="lv-LV" baseline="0"/>
                      <a:t>; 1028642; </a:t>
                    </a:r>
                    <a:fld id="{944EA47A-4C47-4C1A-AC4E-53A6577AE288}" type="PERCENTAGE">
                      <a:rPr lang="lv-LV" baseline="0"/>
                      <a:pPr/>
                      <a:t>[PROCENTI]</a:t>
                    </a:fld>
                    <a:endParaRPr lang="lv-LV" baseline="0"/>
                  </a:p>
                </c:rich>
              </c:tx>
              <c:dLblPos val="bestFit"/>
              <c:showLegendKey val="1"/>
              <c:showVal val="1"/>
              <c:showCatName val="1"/>
              <c:showSerName val="0"/>
              <c:showPercent val="1"/>
              <c:showBubbleSize val="0"/>
              <c:extLst>
                <c:ext xmlns:c15="http://schemas.microsoft.com/office/drawing/2012/chart" uri="{CE6537A1-D6FC-4f65-9D91-7224C49458BB}">
                  <c15:dlblFieldTable/>
                  <c15:showDataLabelsRange val="0"/>
                </c:ext>
              </c:extLst>
            </c:dLbl>
            <c:dLbl>
              <c:idx val="7"/>
              <c:layout>
                <c:manualLayout>
                  <c:x val="2.1197668256491779E-2"/>
                  <c:y val="0"/>
                </c:manualLayout>
              </c:layout>
              <c:dLblPos val="bestFit"/>
              <c:showLegendKey val="1"/>
              <c:showVal val="1"/>
              <c:showCatName val="1"/>
              <c:showSerName val="0"/>
              <c:showPercent val="1"/>
              <c:showBubbleSize val="0"/>
              <c:extLst>
                <c:ext xmlns:c15="http://schemas.microsoft.com/office/drawing/2012/chart" uri="{CE6537A1-D6FC-4f65-9D91-7224C49458BB}">
                  <c15:layout>
                    <c:manualLayout>
                      <c:w val="0.22015364136716614"/>
                      <c:h val="9.8066934989522098E-2"/>
                    </c:manualLayout>
                  </c15:layout>
                </c:ext>
              </c:extLst>
            </c:dLbl>
            <c:numFmt formatCode="0.00%" sourceLinked="0"/>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lv-LV"/>
              </a:p>
            </c:txPr>
            <c:dLblPos val="outEnd"/>
            <c:showLegendKey val="1"/>
            <c:showVal val="1"/>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IZDEVUMI!$A$2:$A$10</c:f>
              <c:strCache>
                <c:ptCount val="9"/>
                <c:pt idx="0">
                  <c:v>Vispārējie valdības dienesti</c:v>
                </c:pt>
                <c:pt idx="1">
                  <c:v>Sabiedriskā kārtība un drošība</c:v>
                </c:pt>
                <c:pt idx="2">
                  <c:v>Ekonomiskā darbība</c:v>
                </c:pt>
                <c:pt idx="3">
                  <c:v>Vides aizsardzība</c:v>
                </c:pt>
                <c:pt idx="4">
                  <c:v>Teritoriju un mājokļu apsaimniekošana</c:v>
                </c:pt>
                <c:pt idx="5">
                  <c:v>Veselība</c:v>
                </c:pt>
                <c:pt idx="6">
                  <c:v>Atpūta, kultūra un reliģija</c:v>
                </c:pt>
                <c:pt idx="7">
                  <c:v>Izglītība</c:v>
                </c:pt>
                <c:pt idx="8">
                  <c:v>Sociālā aizsardzība</c:v>
                </c:pt>
              </c:strCache>
            </c:strRef>
          </c:cat>
          <c:val>
            <c:numRef>
              <c:f>IZDEVUMI!$B$2:$B$10</c:f>
              <c:numCache>
                <c:formatCode>[$€-426]\ #,##0</c:formatCode>
                <c:ptCount val="9"/>
                <c:pt idx="0">
                  <c:v>825050</c:v>
                </c:pt>
                <c:pt idx="1">
                  <c:v>23065</c:v>
                </c:pt>
                <c:pt idx="2">
                  <c:v>2094209</c:v>
                </c:pt>
                <c:pt idx="3">
                  <c:v>50844</c:v>
                </c:pt>
                <c:pt idx="4">
                  <c:v>767954</c:v>
                </c:pt>
                <c:pt idx="5">
                  <c:v>34012</c:v>
                </c:pt>
                <c:pt idx="6">
                  <c:v>1026535</c:v>
                </c:pt>
                <c:pt idx="7">
                  <c:v>2414501</c:v>
                </c:pt>
                <c:pt idx="8">
                  <c:v>1284044</c:v>
                </c:pt>
              </c:numCache>
            </c:numRef>
          </c:val>
        </c:ser>
        <c:dLbls>
          <c:showLegendKey val="0"/>
          <c:showVal val="0"/>
          <c:showCatName val="0"/>
          <c:showSerName val="0"/>
          <c:showPercent val="0"/>
          <c:showBubbleSize val="0"/>
          <c:showLeaderLines val="1"/>
        </c:dLbls>
      </c:pie3DChart>
      <c:spPr>
        <a:noFill/>
        <a:ln>
          <a:noFill/>
        </a:ln>
        <a:effectLst/>
      </c:spPr>
    </c:plotArea>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1">
    <c:autoUpdate val="0"/>
  </c:externalData>
</c:chartSpace>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11097</Words>
  <Characters>6326</Characters>
  <Application>Microsoft Office Word</Application>
  <DocSecurity>0</DocSecurity>
  <Lines>52</Lines>
  <Paragraphs>34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17389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Rolands Kuzmins</dc:creator>
  <cp:keywords/>
  <dc:description/>
  <cp:lastModifiedBy>Rolands Kuzmins</cp:lastModifiedBy>
  <cp:revision>3</cp:revision>
  <dcterms:created xsi:type="dcterms:W3CDTF">2020-02-12T11:37:00Z</dcterms:created>
  <dcterms:modified xsi:type="dcterms:W3CDTF">2020-02-24T11:16:00Z</dcterms:modified>
</cp:coreProperties>
</file>