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17" w:rsidRPr="000227DE" w:rsidRDefault="00277A17" w:rsidP="00277A17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P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ielikums</w:t>
      </w:r>
    </w:p>
    <w:p w:rsidR="00277A17" w:rsidRPr="000227DE" w:rsidRDefault="00277A17" w:rsidP="00277A17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277A17" w:rsidRPr="000227DE" w:rsidRDefault="00277A17" w:rsidP="00277A17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665E0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665E0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jūni</w:t>
      </w:r>
      <w:r w:rsidRPr="00665E08">
        <w:rPr>
          <w:rFonts w:ascii="Times New Roman" w:eastAsia="Times New Roman" w:hAnsi="Times New Roman"/>
          <w:sz w:val="24"/>
          <w:szCs w:val="24"/>
        </w:rPr>
        <w:t>ja</w:t>
      </w:r>
      <w:proofErr w:type="spellEnd"/>
    </w:p>
    <w:p w:rsidR="00277A17" w:rsidRPr="00CE088A" w:rsidRDefault="00277A17" w:rsidP="00277A17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CE088A">
        <w:rPr>
          <w:rFonts w:ascii="Times New Roman" w:eastAsia="Times New Roman" w:hAnsi="Times New Roman"/>
          <w:sz w:val="24"/>
          <w:szCs w:val="24"/>
          <w:lang w:eastAsia="lv-LV"/>
        </w:rPr>
        <w:t>ēmumam</w:t>
      </w:r>
      <w:proofErr w:type="spellEnd"/>
      <w:proofErr w:type="gramEnd"/>
      <w:r>
        <w:fldChar w:fldCharType="begin"/>
      </w:r>
      <w:r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>
        <w:fldChar w:fldCharType="separate"/>
      </w:r>
      <w:r w:rsidRPr="00CE088A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E1532F">
        <w:rPr>
          <w:rFonts w:ascii="Times New Roman" w:eastAsia="Times New Roman" w:hAnsi="Times New Roman"/>
          <w:sz w:val="24"/>
          <w:szCs w:val="24"/>
        </w:rPr>
        <w:t xml:space="preserve">Par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bieži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sastopamo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derīgo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izrakteņu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ieguves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atļaujas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izsniegšanu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sabiedrībai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ar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ierobežotu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atbildību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Rubate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>”</w:t>
      </w:r>
      <w:r w:rsidRPr="00CE088A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>
        <w:fldChar w:fldCharType="end"/>
      </w:r>
    </w:p>
    <w:p w:rsidR="00277A17" w:rsidRPr="00E1532F" w:rsidRDefault="00277A17" w:rsidP="00277A17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E1532F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E153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10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E1532F">
        <w:rPr>
          <w:rFonts w:ascii="Times New Roman" w:eastAsia="Times New Roman" w:hAnsi="Times New Roman"/>
          <w:sz w:val="24"/>
          <w:szCs w:val="24"/>
        </w:rPr>
        <w:t>.§)</w:t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</w:pP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val="lv-LV"/>
        </w:rPr>
      </w:pPr>
      <w:r w:rsidRPr="007813CE">
        <w:rPr>
          <w:rFonts w:ascii="Times New Roman" w:eastAsia="Calibri" w:hAnsi="Times New Roman" w:cs="Times New Roman"/>
          <w:noProof/>
          <w:kern w:val="24"/>
          <w:sz w:val="20"/>
          <w:szCs w:val="24"/>
        </w:rPr>
        <w:drawing>
          <wp:inline distT="0" distB="0" distL="0" distR="0">
            <wp:extent cx="721360" cy="863600"/>
            <wp:effectExtent l="19050" t="0" r="2540" b="0"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val="lv-LV"/>
        </w:rPr>
      </w:pPr>
      <w:r w:rsidRPr="007813CE">
        <w:rPr>
          <w:rFonts w:ascii="Times New Roman" w:eastAsia="Calibri" w:hAnsi="Times New Roman" w:cs="Times New Roman"/>
          <w:b/>
          <w:kern w:val="24"/>
          <w:sz w:val="28"/>
          <w:szCs w:val="28"/>
          <w:lang w:val="lv-LV"/>
        </w:rPr>
        <w:t>LATVIJAS REPUBLIKA</w:t>
      </w:r>
    </w:p>
    <w:p w:rsidR="00277A17" w:rsidRPr="007813CE" w:rsidRDefault="00277A17" w:rsidP="00277A17">
      <w:pPr>
        <w:pBdr>
          <w:bottom w:val="single" w:sz="12" w:space="1" w:color="auto"/>
        </w:pBdr>
        <w:ind w:right="-1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val="lv-LV"/>
        </w:rPr>
      </w:pPr>
      <w:r w:rsidRPr="007813CE">
        <w:rPr>
          <w:rFonts w:ascii="Times New Roman" w:eastAsia="Calibri" w:hAnsi="Times New Roman" w:cs="Times New Roman"/>
          <w:b/>
          <w:kern w:val="24"/>
          <w:sz w:val="28"/>
          <w:szCs w:val="28"/>
          <w:lang w:val="lv-LV"/>
        </w:rPr>
        <w:t>BALVU NOVADA PAŠVALDĪBA</w:t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</w:pPr>
      <w:proofErr w:type="spellStart"/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Reģ</w:t>
      </w:r>
      <w:proofErr w:type="spellEnd"/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.</w:t>
      </w: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 </w:t>
      </w:r>
      <w:proofErr w:type="spellStart"/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Nr.90009115622</w:t>
      </w:r>
      <w:proofErr w:type="spellEnd"/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, Bērzpils iela 1A, Balvi, Balvu novads, LV</w:t>
      </w: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 – </w:t>
      </w:r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4501, tālrunis +371 64522453 </w:t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</w:pP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f</w:t>
      </w:r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akss</w:t>
      </w: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 </w:t>
      </w:r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+</w:t>
      </w: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 </w:t>
      </w:r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>371 64522453, e</w:t>
      </w:r>
      <w:r w:rsidRPr="00E1532F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 – </w:t>
      </w:r>
      <w:r w:rsidRPr="007813CE"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  <w:t xml:space="preserve">pasts: </w:t>
      </w:r>
      <w:hyperlink r:id="rId8" w:history="1">
        <w:r w:rsidRPr="007813CE">
          <w:rPr>
            <w:rFonts w:ascii="Times New Roman" w:eastAsia="Calibri" w:hAnsi="Times New Roman" w:cs="Times New Roman"/>
            <w:kern w:val="24"/>
            <w:sz w:val="20"/>
            <w:szCs w:val="24"/>
            <w:u w:val="single"/>
            <w:lang w:val="lv-LV"/>
          </w:rPr>
          <w:t>dome@balvi.lv</w:t>
        </w:r>
      </w:hyperlink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</w:pP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</w:pPr>
      <w:r w:rsidRPr="007813C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  <w:t xml:space="preserve">Bieži sastopamo derīgo izrakteņu ieguves atļauja </w:t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</w:pPr>
      <w:proofErr w:type="spellStart"/>
      <w:r w:rsidRPr="00E1532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  <w:t>Nr.</w:t>
      </w:r>
      <w:r w:rsidRPr="007813C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lv-LV"/>
        </w:rPr>
        <w:t>3</w:t>
      </w:r>
      <w:proofErr w:type="spellEnd"/>
    </w:p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20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983"/>
        <w:gridCol w:w="8231"/>
      </w:tblGrid>
      <w:tr w:rsidR="00277A17" w:rsidRPr="007813CE" w:rsidTr="007F7E1C"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 </w:t>
            </w: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lv-LV"/>
              </w:rPr>
              <w:t>Izsniegta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sabie</w:t>
            </w:r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drībai ar ierobežotu atbildību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Rubate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 xml:space="preserve">”, vienotais </w:t>
            </w:r>
            <w:proofErr w:type="spellStart"/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R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eģ</w:t>
            </w:r>
            <w:proofErr w:type="spellEnd"/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Nr.40003291605</w:t>
            </w:r>
            <w:proofErr w:type="spellEnd"/>
          </w:p>
        </w:tc>
      </w:tr>
      <w:tr w:rsidR="00277A17" w:rsidRPr="007813CE" w:rsidTr="007F7E1C">
        <w:tc>
          <w:tcPr>
            <w:tcW w:w="983" w:type="dxa"/>
            <w:tcBorders>
              <w:top w:val="nil"/>
              <w:left w:val="nil"/>
              <w:right w:val="nil"/>
            </w:tcBorders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nil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0"/>
                <w:szCs w:val="20"/>
                <w:lang w:val="lv-LV"/>
              </w:rPr>
              <w:t xml:space="preserve">(komersanta firma un reģistrācijas numurs vai </w:t>
            </w: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0"/>
                <w:szCs w:val="20"/>
                <w:lang w:val="lv-LV"/>
              </w:rPr>
              <w:br/>
              <w:t>fiziskās personas vārds, uzvārds, personas kods)</w:t>
            </w:r>
          </w:p>
        </w:tc>
      </w:tr>
    </w:tbl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9214"/>
      </w:tblGrid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smilts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–</w:t>
            </w:r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grants un smilts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 xml:space="preserve">atradne </w:t>
            </w:r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„</w:t>
            </w:r>
            <w:proofErr w:type="spellStart"/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Rubuļeva</w:t>
            </w:r>
            <w:proofErr w:type="spellEnd"/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”</w:t>
            </w:r>
          </w:p>
        </w:tc>
      </w:tr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0"/>
                <w:szCs w:val="20"/>
                <w:lang w:val="lv-LV"/>
              </w:rPr>
              <w:t>(atradnes nosaukums)</w:t>
            </w:r>
          </w:p>
        </w:tc>
      </w:tr>
    </w:tbl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9214"/>
      </w:tblGrid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</w:pPr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„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Līdumi”, Bērzkalnes pagasts, Balvu novads</w:t>
            </w:r>
          </w:p>
        </w:tc>
      </w:tr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0"/>
                <w:szCs w:val="20"/>
                <w:lang w:val="lv-LV"/>
              </w:rPr>
              <w:t>(atradnes administratīvā piederība un adrese (ja iespējams))</w:t>
            </w:r>
          </w:p>
        </w:tc>
      </w:tr>
    </w:tbl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10"/>
          <w:szCs w:val="10"/>
          <w:lang w:val="lv-LV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9214"/>
      </w:tblGrid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smilts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–</w:t>
            </w:r>
            <w:r w:rsidRPr="00E1532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lv-LV"/>
              </w:rPr>
              <w:t>grants un smilts</w:t>
            </w:r>
          </w:p>
        </w:tc>
      </w:tr>
      <w:tr w:rsidR="00277A17" w:rsidRPr="007813CE" w:rsidTr="007F7E1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bCs/>
                <w:kern w:val="24"/>
                <w:sz w:val="20"/>
                <w:szCs w:val="20"/>
                <w:lang w:val="lv-LV"/>
              </w:rPr>
              <w:t>(derīgo izrakteņu veids)</w:t>
            </w:r>
          </w:p>
        </w:tc>
      </w:tr>
    </w:tbl>
    <w:p w:rsidR="00277A17" w:rsidRPr="007813CE" w:rsidRDefault="00277A17" w:rsidP="00277A17">
      <w:pPr>
        <w:ind w:right="-1"/>
        <w:rPr>
          <w:rFonts w:ascii="Times New Roman" w:eastAsia="Calibri" w:hAnsi="Times New Roman" w:cs="Times New Roman"/>
          <w:kern w:val="24"/>
          <w:sz w:val="18"/>
          <w:szCs w:val="28"/>
          <w:lang w:val="lv-LV"/>
        </w:rPr>
      </w:pPr>
    </w:p>
    <w:p w:rsidR="00277A17" w:rsidRPr="007813CE" w:rsidRDefault="00277A17" w:rsidP="00277A17">
      <w:pPr>
        <w:ind w:right="-1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Atļauja izsniegta </w:t>
      </w:r>
      <w:proofErr w:type="spellStart"/>
      <w:proofErr w:type="gramStart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2019.gada</w:t>
      </w:r>
      <w:proofErr w:type="spellEnd"/>
      <w:proofErr w:type="gramEnd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 </w:t>
      </w:r>
      <w:proofErr w:type="spellStart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27.jūnijā</w:t>
      </w:r>
      <w:proofErr w:type="spellEnd"/>
    </w:p>
    <w:p w:rsidR="00277A17" w:rsidRPr="007813CE" w:rsidRDefault="00277A17" w:rsidP="00277A17">
      <w:pPr>
        <w:ind w:right="-1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un ir derīga līdz </w:t>
      </w:r>
      <w:proofErr w:type="spellStart"/>
      <w:proofErr w:type="gramStart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2044.gada</w:t>
      </w:r>
      <w:proofErr w:type="spellEnd"/>
      <w:proofErr w:type="gramEnd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 </w:t>
      </w:r>
      <w:proofErr w:type="spellStart"/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23.aprīlim</w:t>
      </w:r>
      <w:proofErr w:type="spellEnd"/>
    </w:p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Pielikumā: </w:t>
      </w:r>
    </w:p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6"/>
          <w:szCs w:val="6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7231"/>
        <w:gridCol w:w="1399"/>
      </w:tblGrid>
      <w:tr w:rsidR="00277A17" w:rsidRPr="007813CE" w:rsidTr="007F7E1C">
        <w:tc>
          <w:tcPr>
            <w:tcW w:w="550" w:type="dxa"/>
            <w:vAlign w:val="center"/>
          </w:tcPr>
          <w:p w:rsidR="00277A17" w:rsidRPr="007813CE" w:rsidRDefault="00277A17" w:rsidP="007F7E1C">
            <w:pPr>
              <w:ind w:left="-57"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Nr.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br/>
              <w:t>p.k.</w:t>
            </w:r>
          </w:p>
        </w:tc>
        <w:tc>
          <w:tcPr>
            <w:tcW w:w="7231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Pielikuma nosaukums</w:t>
            </w:r>
          </w:p>
        </w:tc>
        <w:tc>
          <w:tcPr>
            <w:tcW w:w="1399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Lpp. skaits</w:t>
            </w:r>
          </w:p>
        </w:tc>
      </w:tr>
      <w:tr w:rsidR="00277A17" w:rsidRPr="007813CE" w:rsidTr="007F7E1C">
        <w:tc>
          <w:tcPr>
            <w:tcW w:w="550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1.</w:t>
            </w:r>
          </w:p>
        </w:tc>
        <w:tc>
          <w:tcPr>
            <w:tcW w:w="7231" w:type="dxa"/>
            <w:vAlign w:val="center"/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Zemes dzīļu izmantošanas nosacījumi</w:t>
            </w:r>
          </w:p>
        </w:tc>
        <w:tc>
          <w:tcPr>
            <w:tcW w:w="1399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1</w:t>
            </w:r>
          </w:p>
        </w:tc>
      </w:tr>
      <w:tr w:rsidR="00277A17" w:rsidRPr="007813CE" w:rsidTr="007F7E1C">
        <w:tc>
          <w:tcPr>
            <w:tcW w:w="550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2.</w:t>
            </w:r>
          </w:p>
        </w:tc>
        <w:tc>
          <w:tcPr>
            <w:tcW w:w="7231" w:type="dxa"/>
            <w:vAlign w:val="center"/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Karte vai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"/>
              </w:smartTagPr>
              <w:r w:rsidRPr="007813CE">
                <w:rPr>
                  <w:rFonts w:ascii="Times New Roman" w:eastAsia="Calibri" w:hAnsi="Times New Roman" w:cs="Times New Roman"/>
                  <w:kern w:val="24"/>
                  <w:sz w:val="24"/>
                  <w:szCs w:val="24"/>
                  <w:lang w:val="lv-LV"/>
                </w:rPr>
                <w:t>plāns</w:t>
              </w:r>
            </w:smartTag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, kurā attēlo atradnes ro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bežu, atļaujas adresāta īpašumā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 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vai nomā esošo zemesgabalu robežas, atļaujas laukuma robežu ar robežpunktiem</w:t>
            </w:r>
            <w:proofErr w:type="gramEnd"/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; tabula ar robežpunktu koordinātām LKS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 – </w:t>
            </w: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92 TM sistēmā</w:t>
            </w:r>
          </w:p>
        </w:tc>
        <w:tc>
          <w:tcPr>
            <w:tcW w:w="1399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1</w:t>
            </w:r>
          </w:p>
        </w:tc>
      </w:tr>
      <w:tr w:rsidR="00277A17" w:rsidRPr="007813CE" w:rsidTr="007F7E1C">
        <w:tc>
          <w:tcPr>
            <w:tcW w:w="550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3.</w:t>
            </w:r>
          </w:p>
        </w:tc>
        <w:tc>
          <w:tcPr>
            <w:tcW w:w="7231" w:type="dxa"/>
            <w:vAlign w:val="center"/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Derīgo izrakteņu ieguves limits</w:t>
            </w:r>
          </w:p>
        </w:tc>
        <w:tc>
          <w:tcPr>
            <w:tcW w:w="1399" w:type="dxa"/>
            <w:vAlign w:val="center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2</w:t>
            </w:r>
          </w:p>
        </w:tc>
      </w:tr>
    </w:tbl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6"/>
          <w:szCs w:val="24"/>
          <w:lang w:val="lv-LV"/>
        </w:rPr>
      </w:pPr>
    </w:p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 xml:space="preserve">Atļaujas pielikumi ir tās neatņemama sastāvdaļa. </w:t>
      </w:r>
    </w:p>
    <w:p w:rsidR="00277A17" w:rsidRPr="007813CE" w:rsidRDefault="00277A17" w:rsidP="00277A17">
      <w:pPr>
        <w:ind w:right="-1"/>
        <w:jc w:val="both"/>
        <w:rPr>
          <w:rFonts w:ascii="Times New Roman" w:eastAsia="Calibri" w:hAnsi="Times New Roman" w:cs="Times New Roman"/>
          <w:kern w:val="24"/>
          <w:sz w:val="20"/>
          <w:szCs w:val="28"/>
          <w:lang w:val="lv-LV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200"/>
        <w:gridCol w:w="6871"/>
      </w:tblGrid>
      <w:tr w:rsidR="00277A17" w:rsidRPr="007813CE" w:rsidTr="007F7E1C">
        <w:tc>
          <w:tcPr>
            <w:tcW w:w="2200" w:type="dxa"/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i/>
                <w:strike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Priekšsēdētājs 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17" w:rsidRPr="007813CE" w:rsidRDefault="00277A17" w:rsidP="007F7E1C">
            <w:pPr>
              <w:ind w:right="-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 xml:space="preserve"> Aigars </w:t>
            </w:r>
            <w:proofErr w:type="spellStart"/>
            <w:r w:rsidRPr="007813C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lv-LV"/>
              </w:rPr>
              <w:t>Pušpurs</w:t>
            </w:r>
            <w:proofErr w:type="spellEnd"/>
          </w:p>
        </w:tc>
      </w:tr>
      <w:tr w:rsidR="00277A17" w:rsidRPr="007813CE" w:rsidTr="007F7E1C">
        <w:tc>
          <w:tcPr>
            <w:tcW w:w="2200" w:type="dxa"/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:rsidR="00277A17" w:rsidRPr="007813CE" w:rsidRDefault="00277A17" w:rsidP="007F7E1C">
            <w:pPr>
              <w:ind w:right="-1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</w:pPr>
            <w:r w:rsidRPr="007813CE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lv-LV"/>
              </w:rPr>
              <w:t>(vārds, uzvārds, paraksts)</w:t>
            </w:r>
          </w:p>
        </w:tc>
      </w:tr>
    </w:tbl>
    <w:p w:rsidR="00277A17" w:rsidRPr="007813CE" w:rsidRDefault="00277A17" w:rsidP="00277A17">
      <w:pPr>
        <w:ind w:left="4320" w:right="-1" w:hanging="470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16"/>
          <w:szCs w:val="16"/>
          <w:lang w:val="lv-LV"/>
        </w:rPr>
        <w:t xml:space="preserve">              </w:t>
      </w: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>Z.v.</w:t>
      </w:r>
    </w:p>
    <w:p w:rsidR="00277A17" w:rsidRPr="00E1532F" w:rsidRDefault="00277A17" w:rsidP="00277A17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77A17" w:rsidRPr="00256AA9" w:rsidRDefault="00277A17" w:rsidP="00277A17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p w:rsidR="00277A17" w:rsidRPr="00277A17" w:rsidRDefault="00277A17" w:rsidP="00277A17">
      <w:pPr>
        <w:ind w:right="-2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7A17"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 xml:space="preserve">                                                                                                                                    Pielikums </w:t>
      </w:r>
      <w:proofErr w:type="spellStart"/>
      <w:r w:rsidRPr="00277A17">
        <w:rPr>
          <w:rFonts w:ascii="Times New Roman" w:eastAsia="Times New Roman" w:hAnsi="Times New Roman"/>
          <w:sz w:val="24"/>
          <w:szCs w:val="24"/>
          <w:lang w:val="lv-LV" w:eastAsia="lv-LV"/>
        </w:rPr>
        <w:t>Nr.1</w:t>
      </w:r>
      <w:proofErr w:type="spellEnd"/>
    </w:p>
    <w:p w:rsidR="00277A17" w:rsidRPr="00277A17" w:rsidRDefault="00277A17" w:rsidP="00277A17">
      <w:pPr>
        <w:ind w:left="426"/>
        <w:jc w:val="right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r w:rsidRPr="00277A17">
        <w:rPr>
          <w:rFonts w:ascii="Times New Roman" w:eastAsia="Times New Roman" w:hAnsi="Times New Roman"/>
          <w:sz w:val="24"/>
          <w:szCs w:val="24"/>
          <w:lang w:val="lv-LV" w:eastAsia="lv-LV"/>
        </w:rPr>
        <w:t>b</w:t>
      </w:r>
      <w:r w:rsidRPr="00277A17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ieži sastopamo derīgo izrakteņu ieguves atļaujai </w:t>
      </w:r>
      <w:proofErr w:type="spellStart"/>
      <w:r w:rsidRPr="00277A17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Nr.3</w:t>
      </w:r>
      <w:proofErr w:type="spellEnd"/>
    </w:p>
    <w:p w:rsidR="00277A17" w:rsidRPr="00277A17" w:rsidRDefault="00277A17" w:rsidP="00277A17">
      <w:pPr>
        <w:ind w:right="-1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b/>
          <w:kern w:val="24"/>
          <w:sz w:val="24"/>
          <w:szCs w:val="24"/>
          <w:lang w:val="lv-LV"/>
        </w:rPr>
        <w:t>Zemes dzīļu izmantošanas nosacījumi</w:t>
      </w:r>
    </w:p>
    <w:p w:rsidR="00277A17" w:rsidRPr="007813CE" w:rsidRDefault="00277A17" w:rsidP="00277A17">
      <w:pPr>
        <w:ind w:right="-1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lv-LV"/>
        </w:rPr>
      </w:pP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Bieži sastopamo derīgo izrakteņu atļauja (turpmāk – at</w:t>
      </w:r>
      <w:r>
        <w:rPr>
          <w:rFonts w:ascii="Times New Roman" w:hAnsi="Times New Roman"/>
          <w:kern w:val="24"/>
          <w:sz w:val="24"/>
          <w:szCs w:val="24"/>
        </w:rPr>
        <w:t>ļauja) izsniegta SIA „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Rubate</w:t>
      </w:r>
      <w:proofErr w:type="spellEnd"/>
      <w:r>
        <w:rPr>
          <w:rFonts w:ascii="Times New Roman" w:hAnsi="Times New Roman"/>
          <w:kern w:val="24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R</w:t>
      </w:r>
      <w:r w:rsidRPr="00E1532F">
        <w:rPr>
          <w:rFonts w:ascii="Times New Roman" w:hAnsi="Times New Roman"/>
          <w:kern w:val="24"/>
          <w:sz w:val="24"/>
          <w:szCs w:val="24"/>
        </w:rPr>
        <w:t>eģ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.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Nr.40003291605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>, smilts</w:t>
      </w:r>
      <w:r>
        <w:rPr>
          <w:rFonts w:ascii="Times New Roman" w:hAnsi="Times New Roman"/>
          <w:kern w:val="24"/>
          <w:sz w:val="24"/>
          <w:szCs w:val="24"/>
        </w:rPr>
        <w:t xml:space="preserve"> – </w:t>
      </w:r>
      <w:r w:rsidRPr="00E1532F">
        <w:rPr>
          <w:rFonts w:ascii="Times New Roman" w:hAnsi="Times New Roman"/>
          <w:kern w:val="24"/>
          <w:sz w:val="24"/>
          <w:szCs w:val="24"/>
        </w:rPr>
        <w:t>grants un smilts atradnei „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Rubuļeva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”, Bērzkalnes pagastā, Balvu novadā, saskaņā </w:t>
      </w:r>
      <w:r>
        <w:rPr>
          <w:rFonts w:ascii="Times New Roman" w:hAnsi="Times New Roman"/>
          <w:kern w:val="24"/>
          <w:sz w:val="24"/>
          <w:szCs w:val="24"/>
        </w:rPr>
        <w:t xml:space="preserve">ar likuma „Par zemes dzīlēm” </w:t>
      </w:r>
      <w:proofErr w:type="spellStart"/>
      <w:proofErr w:type="gramStart"/>
      <w:r>
        <w:rPr>
          <w:rFonts w:ascii="Times New Roman" w:hAnsi="Times New Roman"/>
          <w:kern w:val="24"/>
          <w:sz w:val="24"/>
          <w:szCs w:val="24"/>
        </w:rPr>
        <w:t>4.panta</w:t>
      </w:r>
      <w:proofErr w:type="spellEnd"/>
      <w:proofErr w:type="gramEnd"/>
      <w:r>
        <w:rPr>
          <w:rFonts w:ascii="Times New Roman" w:hAnsi="Times New Roman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5.</w:t>
      </w:r>
      <w:r w:rsidRPr="00E1532F">
        <w:rPr>
          <w:rFonts w:ascii="Times New Roman" w:hAnsi="Times New Roman"/>
          <w:kern w:val="24"/>
          <w:sz w:val="24"/>
          <w:szCs w:val="24"/>
        </w:rPr>
        <w:t>daļu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>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 xml:space="preserve">Atļauja dod tiesības atļaujas adresātam veikt smilts atradnē </w:t>
      </w:r>
      <w:r>
        <w:rPr>
          <w:rFonts w:ascii="Times New Roman" w:hAnsi="Times New Roman"/>
          <w:kern w:val="24"/>
          <w:sz w:val="24"/>
          <w:szCs w:val="24"/>
        </w:rPr>
        <w:t>„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Rubuļeva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>”, kas izvietota atļaujas adresāta zemes īpašumā „Līdumi”, Bērzkalnes pagastā, Balvu novadā, kadastra apzīmējumiem 3848 005 0006, kopējā platībā 8,361 ha.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Derīgo izrakteņu ieguve atradnē „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Rubuļeva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>” atļauta tikai saskaņā ar projektēšanas institūta „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Ceļuprojekts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” </w:t>
      </w:r>
      <w:proofErr w:type="gramStart"/>
      <w:r w:rsidRPr="00E1532F">
        <w:rPr>
          <w:rFonts w:ascii="Times New Roman" w:hAnsi="Times New Roman"/>
          <w:kern w:val="24"/>
          <w:sz w:val="24"/>
          <w:szCs w:val="24"/>
        </w:rPr>
        <w:t>1984.</w:t>
      </w:r>
      <w:r>
        <w:rPr>
          <w:rFonts w:ascii="Times New Roman" w:hAnsi="Times New Roman"/>
          <w:kern w:val="24"/>
          <w:sz w:val="24"/>
          <w:szCs w:val="24"/>
        </w:rPr>
        <w:t xml:space="preserve"> –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1985.</w:t>
      </w:r>
      <w:proofErr w:type="gramEnd"/>
      <w:r w:rsidRPr="00E1532F">
        <w:rPr>
          <w:rFonts w:ascii="Times New Roman" w:hAnsi="Times New Roman"/>
          <w:kern w:val="24"/>
          <w:sz w:val="24"/>
          <w:szCs w:val="24"/>
        </w:rPr>
        <w:t>gadā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AS „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Ce</w:t>
      </w:r>
      <w:r>
        <w:rPr>
          <w:rFonts w:ascii="Times New Roman" w:hAnsi="Times New Roman"/>
          <w:kern w:val="24"/>
          <w:sz w:val="24"/>
          <w:szCs w:val="24"/>
        </w:rPr>
        <w:t>ļuprojekts</w:t>
      </w:r>
      <w:proofErr w:type="spellEnd"/>
      <w:r>
        <w:rPr>
          <w:rFonts w:ascii="Times New Roman" w:hAnsi="Times New Roman"/>
          <w:kern w:val="24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1999.gadā</w:t>
      </w:r>
      <w:proofErr w:type="spellEnd"/>
      <w:r>
        <w:rPr>
          <w:rFonts w:ascii="Times New Roman" w:hAnsi="Times New Roman"/>
          <w:kern w:val="24"/>
          <w:sz w:val="24"/>
          <w:szCs w:val="24"/>
        </w:rPr>
        <w:t>, pēc                      SIA „</w:t>
      </w:r>
      <w:r w:rsidRPr="00E1532F">
        <w:rPr>
          <w:rFonts w:ascii="Times New Roman" w:hAnsi="Times New Roman"/>
          <w:kern w:val="24"/>
          <w:sz w:val="24"/>
          <w:szCs w:val="24"/>
        </w:rPr>
        <w:t xml:space="preserve">Vides Konsultāciju Birojs”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2018.gada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ģeoloģiski izpētīto un atlikušo krājumu aprēķina pārskata datiem, kas uzrādīti Derīgo izrakteņu atradnes pasē. Ieguves vietas robežas norādītas atļaujas pielikumā.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 xml:space="preserve">Ekspluatējot atradni, jāievēro </w:t>
      </w:r>
      <w:proofErr w:type="spellStart"/>
      <w:proofErr w:type="gramStart"/>
      <w:r w:rsidRPr="00E1532F">
        <w:rPr>
          <w:rFonts w:ascii="Times New Roman" w:hAnsi="Times New Roman"/>
          <w:kern w:val="24"/>
          <w:sz w:val="24"/>
          <w:szCs w:val="24"/>
        </w:rPr>
        <w:t>2012.gada</w:t>
      </w:r>
      <w:proofErr w:type="spellEnd"/>
      <w:proofErr w:type="gramEnd"/>
      <w:r w:rsidRPr="00E1532F">
        <w:rPr>
          <w:rFonts w:ascii="Times New Roman" w:hAnsi="Times New Roman"/>
          <w:kern w:val="24"/>
          <w:sz w:val="24"/>
          <w:szCs w:val="24"/>
        </w:rPr>
        <w:t xml:space="preserve">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21.augusta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kern w:val="24"/>
          <w:sz w:val="24"/>
          <w:szCs w:val="24"/>
        </w:rPr>
        <w:t xml:space="preserve">Ministru kabineta noteikumi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Nr.</w:t>
      </w:r>
      <w:r w:rsidRPr="00E1532F">
        <w:rPr>
          <w:rFonts w:ascii="Times New Roman" w:hAnsi="Times New Roman"/>
          <w:kern w:val="24"/>
          <w:sz w:val="24"/>
          <w:szCs w:val="24"/>
        </w:rPr>
        <w:t>570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„Derīgo izrakteņu ieguves kārtība”, kā arī citi saistošie noteikumi.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 xml:space="preserve">Pirms derīgo izrakteņu ieguves, izstrādāt derīgo izrakteņu ieguves projektu, kurš veidots un saskaņots atbilstoši </w:t>
      </w:r>
      <w:proofErr w:type="spellStart"/>
      <w:proofErr w:type="gramStart"/>
      <w:r w:rsidRPr="00E1532F">
        <w:rPr>
          <w:rFonts w:ascii="Times New Roman" w:hAnsi="Times New Roman"/>
          <w:kern w:val="24"/>
          <w:sz w:val="24"/>
          <w:szCs w:val="24"/>
        </w:rPr>
        <w:t>2012.gada</w:t>
      </w:r>
      <w:proofErr w:type="spellEnd"/>
      <w:proofErr w:type="gramEnd"/>
      <w:r w:rsidRPr="00E1532F">
        <w:rPr>
          <w:rFonts w:ascii="Times New Roman" w:hAnsi="Times New Roman"/>
          <w:kern w:val="24"/>
          <w:sz w:val="24"/>
          <w:szCs w:val="24"/>
        </w:rPr>
        <w:t xml:space="preserve">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21.augusta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Mi</w:t>
      </w:r>
      <w:r>
        <w:rPr>
          <w:rFonts w:ascii="Times New Roman" w:hAnsi="Times New Roman"/>
          <w:kern w:val="24"/>
          <w:sz w:val="24"/>
          <w:szCs w:val="24"/>
        </w:rPr>
        <w:t xml:space="preserve">nistru kabineta noteikumiem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Nr.</w:t>
      </w:r>
      <w:r w:rsidRPr="00E1532F">
        <w:rPr>
          <w:rFonts w:ascii="Times New Roman" w:hAnsi="Times New Roman"/>
          <w:kern w:val="24"/>
          <w:sz w:val="24"/>
          <w:szCs w:val="24"/>
        </w:rPr>
        <w:t>570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„Derīgo izrakteņu ieguves kārtība”.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Pirms ieguves darbu uzsākšanas, noteikt par ieguves darbu norisi un iegūto derīgo izrakteņu apjomu uzskaiti atbildīgo darbinieku.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Pirms derīgo izrakteņu ieguves vietas sagatavošanas, jāsaņem zemes transformācijas atļauja normatīvajos aktos noteiktajā kārtībā.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 xml:space="preserve">Pirms ieguves darbu uzsākšanas nostiprināt dabā licences laukuma robežpunktus, kurā saskaņā ar šo atļauju notiks derīgo izrakteņu ieguve, 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Karjera izstrāde veicama saskaņā ar apstiprinātu derīgo izrakteņu ieguves projektu.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Atradnes izstrādes dziļums nedrīkst pārsniegt derīgo izrakteņu krājumu aprēķina dziļumu.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Veikt vides aizsardzības pasākumus saskaņā ar Rēzeknes reģionālās vides p</w:t>
      </w:r>
      <w:r>
        <w:rPr>
          <w:rFonts w:ascii="Times New Roman" w:hAnsi="Times New Roman"/>
          <w:kern w:val="24"/>
          <w:sz w:val="24"/>
          <w:szCs w:val="24"/>
        </w:rPr>
        <w:t xml:space="preserve">ārvaldes tehnisko noteikumu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Nr.</w:t>
      </w:r>
      <w:r w:rsidRPr="00E1532F">
        <w:rPr>
          <w:rFonts w:ascii="Times New Roman" w:hAnsi="Times New Roman"/>
          <w:kern w:val="24"/>
          <w:sz w:val="24"/>
          <w:szCs w:val="24"/>
        </w:rPr>
        <w:t>RE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19 TN 0003 un lēmumu </w:t>
      </w:r>
      <w:proofErr w:type="spellStart"/>
      <w:r w:rsidRPr="00E1532F">
        <w:rPr>
          <w:rFonts w:ascii="Times New Roman" w:hAnsi="Times New Roman"/>
          <w:kern w:val="24"/>
          <w:sz w:val="24"/>
          <w:szCs w:val="24"/>
        </w:rPr>
        <w:t>Nr.RE</w:t>
      </w:r>
      <w:proofErr w:type="spellEnd"/>
      <w:r w:rsidRPr="00E1532F">
        <w:rPr>
          <w:rFonts w:ascii="Times New Roman" w:hAnsi="Times New Roman"/>
          <w:kern w:val="24"/>
          <w:sz w:val="24"/>
          <w:szCs w:val="24"/>
        </w:rPr>
        <w:t xml:space="preserve"> 19 VL 00</w:t>
      </w:r>
      <w:r>
        <w:rPr>
          <w:rFonts w:ascii="Times New Roman" w:hAnsi="Times New Roman"/>
          <w:kern w:val="24"/>
          <w:sz w:val="24"/>
          <w:szCs w:val="24"/>
        </w:rPr>
        <w:t xml:space="preserve">72 „Par tehnisko noteikumu Nr. </w:t>
      </w:r>
      <w:r w:rsidRPr="00E1532F">
        <w:rPr>
          <w:rFonts w:ascii="Times New Roman" w:hAnsi="Times New Roman"/>
          <w:kern w:val="24"/>
          <w:sz w:val="24"/>
          <w:szCs w:val="24"/>
        </w:rPr>
        <w:t>RE 19 TN 0003 grozīšanu” prasībām, tai skaitā karjera izstrādes procesā nepieļaut pazemes ūdeņu piesārņošanu, kā arī nepieļaut nesankcionētu atkritumu izgāztuvju veidošanos izstrādātajos iecirkņos.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Nodrošināt iegūto derīgo izrakteņu uzskaiti, derīgo izrakteņu zudumu un krājumu atlikumu noteikšanu. Kontrolēt iegūto derīgo izrakteņu apjomu un krājumu atlikumu noteikšanas precizitāti, veicot periodiskas topogrāfiskās uzmērīšanas karjerā.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Informāciju par derīgo izrakteņu ieguvi iesniegt Rēzeknes reģionālajā vides pārvaldē atbilstoši normatīvajos aktos noteiktajām prasībām.</w:t>
      </w:r>
    </w:p>
    <w:p w:rsidR="00277A17" w:rsidRPr="00E1532F" w:rsidRDefault="00277A17" w:rsidP="00277A1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862" w:hanging="357"/>
        <w:jc w:val="both"/>
        <w:rPr>
          <w:rFonts w:ascii="Times New Roman" w:hAnsi="Times New Roman"/>
          <w:kern w:val="24"/>
          <w:sz w:val="24"/>
          <w:szCs w:val="24"/>
        </w:rPr>
      </w:pPr>
      <w:r w:rsidRPr="00E1532F">
        <w:rPr>
          <w:rFonts w:ascii="Times New Roman" w:hAnsi="Times New Roman"/>
          <w:kern w:val="24"/>
          <w:sz w:val="24"/>
          <w:szCs w:val="24"/>
        </w:rPr>
        <w:t>Uzturēt kārtībā ceļus un iebrauktuves.</w:t>
      </w:r>
    </w:p>
    <w:p w:rsidR="00277A17" w:rsidRPr="007813CE" w:rsidRDefault="00277A17" w:rsidP="00277A17">
      <w:pPr>
        <w:tabs>
          <w:tab w:val="left" w:pos="2430"/>
        </w:tabs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</w:p>
    <w:p w:rsidR="00277A17" w:rsidRPr="00E1532F" w:rsidRDefault="00277A17" w:rsidP="00277A17">
      <w:pPr>
        <w:tabs>
          <w:tab w:val="left" w:pos="1140"/>
        </w:tabs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</w:pPr>
      <w:r w:rsidRPr="007813CE">
        <w:rPr>
          <w:rFonts w:ascii="Times New Roman" w:eastAsia="Calibri" w:hAnsi="Times New Roman" w:cs="Times New Roman"/>
          <w:kern w:val="24"/>
          <w:sz w:val="24"/>
          <w:szCs w:val="24"/>
          <w:lang w:val="lv-LV"/>
        </w:rPr>
        <w:tab/>
      </w:r>
    </w:p>
    <w:p w:rsidR="00277A17" w:rsidRDefault="00277A17" w:rsidP="00277A17">
      <w:pPr>
        <w:tabs>
          <w:tab w:val="left" w:pos="1140"/>
        </w:tabs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highlight w:val="yellow"/>
          <w:lang w:val="lv-LV"/>
        </w:rPr>
      </w:pPr>
    </w:p>
    <w:p w:rsidR="00277A17" w:rsidRDefault="00277A17" w:rsidP="00277A17">
      <w:pPr>
        <w:tabs>
          <w:tab w:val="left" w:pos="1140"/>
        </w:tabs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highlight w:val="yellow"/>
          <w:lang w:val="lv-LV"/>
        </w:rPr>
      </w:pPr>
    </w:p>
    <w:p w:rsidR="00277A17" w:rsidRPr="007813CE" w:rsidRDefault="00277A17" w:rsidP="00277A17">
      <w:pPr>
        <w:tabs>
          <w:tab w:val="left" w:pos="1140"/>
        </w:tabs>
        <w:ind w:right="-1"/>
        <w:jc w:val="both"/>
        <w:rPr>
          <w:rFonts w:ascii="Times New Roman" w:eastAsia="Calibri" w:hAnsi="Times New Roman" w:cs="Times New Roman"/>
          <w:kern w:val="24"/>
          <w:sz w:val="24"/>
          <w:szCs w:val="24"/>
          <w:highlight w:val="yellow"/>
          <w:lang w:val="lv-LV"/>
        </w:rPr>
      </w:pPr>
    </w:p>
    <w:p w:rsidR="00277A17" w:rsidRPr="00256AA9" w:rsidRDefault="00277A17" w:rsidP="00277A17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1532F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277A17" w:rsidRDefault="00E76679" w:rsidP="00277A17">
      <w:pPr>
        <w:rPr>
          <w:szCs w:val="24"/>
        </w:rPr>
      </w:pPr>
    </w:p>
    <w:sectPr w:rsidR="00E76679" w:rsidRPr="00277A17" w:rsidSect="00443C1A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25" w:rsidRDefault="00867B25" w:rsidP="00443C1A">
      <w:r>
        <w:separator/>
      </w:r>
    </w:p>
  </w:endnote>
  <w:endnote w:type="continuationSeparator" w:id="0">
    <w:p w:rsidR="00867B25" w:rsidRDefault="00867B25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C613B8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A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25" w:rsidRDefault="00867B25" w:rsidP="00443C1A">
      <w:r>
        <w:separator/>
      </w:r>
    </w:p>
  </w:footnote>
  <w:footnote w:type="continuationSeparator" w:id="0">
    <w:p w:rsidR="00867B25" w:rsidRDefault="00867B25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06C"/>
    <w:multiLevelType w:val="multilevel"/>
    <w:tmpl w:val="14267A7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B911F64"/>
    <w:multiLevelType w:val="multilevel"/>
    <w:tmpl w:val="6584D30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694180"/>
    <w:multiLevelType w:val="hybridMultilevel"/>
    <w:tmpl w:val="299A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C1296"/>
    <w:multiLevelType w:val="multilevel"/>
    <w:tmpl w:val="226A8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9992D0A"/>
    <w:multiLevelType w:val="multilevel"/>
    <w:tmpl w:val="6B66A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A286B1A"/>
    <w:multiLevelType w:val="multilevel"/>
    <w:tmpl w:val="18BC5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0" w:hanging="36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1890" w:hanging="72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6">
    <w:nsid w:val="6ECD79C9"/>
    <w:multiLevelType w:val="multilevel"/>
    <w:tmpl w:val="C42AFA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77A17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67B25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3B8"/>
    <w:rsid w:val="00C61D45"/>
    <w:rsid w:val="00C670D7"/>
    <w:rsid w:val="00C704FA"/>
    <w:rsid w:val="00C76DA3"/>
    <w:rsid w:val="00C821E9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99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2019-06-28T06:08:00Z</dcterms:created>
  <dcterms:modified xsi:type="dcterms:W3CDTF">2019-06-28T06:08:00Z</dcterms:modified>
</cp:coreProperties>
</file>